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7"/>
        <w:gridCol w:w="2590"/>
        <w:gridCol w:w="3211"/>
      </w:tblGrid>
      <w:tr w:rsidR="00EB63B1" w14:paraId="59BBD0A1" w14:textId="77777777" w:rsidTr="00EB63B1">
        <w:trPr>
          <w:cantSplit/>
          <w:trHeight w:val="1696"/>
        </w:trPr>
        <w:tc>
          <w:tcPr>
            <w:tcW w:w="3881" w:type="dxa"/>
            <w:tcBorders>
              <w:top w:val="single" w:sz="4" w:space="0" w:color="auto"/>
              <w:left w:val="single" w:sz="4" w:space="0" w:color="auto"/>
              <w:bottom w:val="nil"/>
              <w:right w:val="nil"/>
            </w:tcBorders>
          </w:tcPr>
          <w:p w14:paraId="47F168D7" w14:textId="77777777" w:rsidR="00EB63B1" w:rsidRDefault="00EB63B1">
            <w:pPr>
              <w:pStyle w:val="Intestazione"/>
              <w:spacing w:line="276" w:lineRule="auto"/>
              <w:rPr>
                <w:b/>
                <w:sz w:val="18"/>
                <w:szCs w:val="18"/>
              </w:rPr>
            </w:pPr>
          </w:p>
          <w:p w14:paraId="134FD8D3" w14:textId="77777777" w:rsidR="00EB63B1" w:rsidRDefault="00EB63B1">
            <w:pPr>
              <w:pStyle w:val="Intestazione"/>
              <w:spacing w:line="276" w:lineRule="auto"/>
              <w:jc w:val="center"/>
              <w:rPr>
                <w:sz w:val="36"/>
                <w:szCs w:val="36"/>
              </w:rPr>
            </w:pPr>
            <w:r>
              <w:rPr>
                <w:b/>
                <w:sz w:val="36"/>
                <w:szCs w:val="36"/>
              </w:rPr>
              <w:t>Comune di Villa Verde</w:t>
            </w:r>
          </w:p>
          <w:p w14:paraId="793DCC86" w14:textId="77777777" w:rsidR="00EB63B1" w:rsidRDefault="00EB63B1">
            <w:pPr>
              <w:pStyle w:val="Intestazione"/>
              <w:spacing w:line="276" w:lineRule="auto"/>
              <w:jc w:val="center"/>
              <w:rPr>
                <w:sz w:val="20"/>
              </w:rPr>
            </w:pPr>
            <w:r>
              <w:t>Provincia di Oristano</w:t>
            </w:r>
          </w:p>
          <w:p w14:paraId="52DC2185" w14:textId="77777777" w:rsidR="00EB63B1" w:rsidRDefault="00EB63B1">
            <w:pPr>
              <w:pStyle w:val="Intestazione"/>
              <w:spacing w:line="276" w:lineRule="auto"/>
              <w:jc w:val="center"/>
              <w:rPr>
                <w:sz w:val="18"/>
                <w:szCs w:val="18"/>
              </w:rPr>
            </w:pPr>
          </w:p>
          <w:p w14:paraId="61FEDA6F" w14:textId="77777777" w:rsidR="00EB63B1" w:rsidRDefault="00EB63B1">
            <w:pPr>
              <w:pStyle w:val="Intestazione"/>
              <w:spacing w:line="276" w:lineRule="auto"/>
              <w:jc w:val="center"/>
            </w:pPr>
            <w:r>
              <w:t>via Indipendenza, 3</w:t>
            </w:r>
          </w:p>
          <w:p w14:paraId="090EBC7A" w14:textId="77777777" w:rsidR="00EB63B1" w:rsidRDefault="00EB63B1">
            <w:pPr>
              <w:pStyle w:val="Intestazione"/>
              <w:spacing w:line="276" w:lineRule="auto"/>
              <w:jc w:val="center"/>
              <w:rPr>
                <w:b/>
                <w:sz w:val="28"/>
              </w:rPr>
            </w:pPr>
            <w:proofErr w:type="gramStart"/>
            <w:r>
              <w:t xml:space="preserve">09090  </w:t>
            </w:r>
            <w:r>
              <w:rPr>
                <w:b/>
              </w:rPr>
              <w:t>VILLA</w:t>
            </w:r>
            <w:proofErr w:type="gramEnd"/>
            <w:r>
              <w:rPr>
                <w:b/>
              </w:rPr>
              <w:t xml:space="preserve"> VERDE</w:t>
            </w:r>
            <w:r>
              <w:t xml:space="preserve">  (OR)</w:t>
            </w:r>
          </w:p>
        </w:tc>
        <w:tc>
          <w:tcPr>
            <w:tcW w:w="2613" w:type="dxa"/>
            <w:tcBorders>
              <w:top w:val="single" w:sz="4" w:space="0" w:color="auto"/>
              <w:left w:val="nil"/>
              <w:bottom w:val="nil"/>
              <w:right w:val="nil"/>
            </w:tcBorders>
            <w:hideMark/>
          </w:tcPr>
          <w:p w14:paraId="15615A3B" w14:textId="36885CC9" w:rsidR="00EB63B1" w:rsidRDefault="00EB63B1">
            <w:pPr>
              <w:pStyle w:val="Intestazione"/>
              <w:spacing w:line="276" w:lineRule="auto"/>
              <w:jc w:val="center"/>
            </w:pPr>
            <w:r>
              <w:rPr>
                <w:noProof/>
              </w:rPr>
              <w:drawing>
                <wp:inline distT="0" distB="0" distL="0" distR="0" wp14:anchorId="5E9652C0" wp14:editId="33CC0FD6">
                  <wp:extent cx="935355" cy="1233170"/>
                  <wp:effectExtent l="0" t="0" r="0" b="5080"/>
                  <wp:docPr id="14026324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355" cy="1233170"/>
                          </a:xfrm>
                          <a:prstGeom prst="rect">
                            <a:avLst/>
                          </a:prstGeom>
                          <a:noFill/>
                          <a:ln>
                            <a:noFill/>
                          </a:ln>
                        </pic:spPr>
                      </pic:pic>
                    </a:graphicData>
                  </a:graphic>
                </wp:inline>
              </w:drawing>
            </w:r>
          </w:p>
        </w:tc>
        <w:tc>
          <w:tcPr>
            <w:tcW w:w="3248" w:type="dxa"/>
            <w:tcBorders>
              <w:top w:val="single" w:sz="4" w:space="0" w:color="auto"/>
              <w:left w:val="nil"/>
              <w:bottom w:val="nil"/>
              <w:right w:val="single" w:sz="4" w:space="0" w:color="auto"/>
            </w:tcBorders>
          </w:tcPr>
          <w:p w14:paraId="52CF4EF7" w14:textId="77777777" w:rsidR="00EB63B1" w:rsidRDefault="00EB63B1">
            <w:pPr>
              <w:pStyle w:val="Intestazione"/>
              <w:spacing w:line="276" w:lineRule="auto"/>
              <w:jc w:val="center"/>
              <w:rPr>
                <w:b/>
                <w:sz w:val="18"/>
                <w:szCs w:val="18"/>
              </w:rPr>
            </w:pPr>
          </w:p>
          <w:p w14:paraId="76154925" w14:textId="77777777" w:rsidR="00EB63B1" w:rsidRDefault="00EB63B1">
            <w:pPr>
              <w:pStyle w:val="Intestazione"/>
              <w:spacing w:line="276" w:lineRule="auto"/>
              <w:jc w:val="center"/>
              <w:rPr>
                <w:b/>
                <w:sz w:val="36"/>
                <w:szCs w:val="36"/>
                <w:lang w:val="pt-BR"/>
              </w:rPr>
            </w:pPr>
            <w:r>
              <w:rPr>
                <w:b/>
                <w:sz w:val="36"/>
                <w:szCs w:val="36"/>
                <w:lang w:val="pt-BR"/>
              </w:rPr>
              <w:t>Comunu de Bàini</w:t>
            </w:r>
          </w:p>
          <w:p w14:paraId="29A41477" w14:textId="77777777" w:rsidR="00EB63B1" w:rsidRDefault="00EB63B1">
            <w:pPr>
              <w:pStyle w:val="Intestazione"/>
              <w:spacing w:line="276" w:lineRule="auto"/>
              <w:jc w:val="center"/>
              <w:rPr>
                <w:sz w:val="20"/>
                <w:lang w:val="pt-BR"/>
              </w:rPr>
            </w:pPr>
            <w:r>
              <w:rPr>
                <w:lang w:val="pt-BR"/>
              </w:rPr>
              <w:t>Provincia de Aristanis</w:t>
            </w:r>
          </w:p>
          <w:p w14:paraId="16B1F52C" w14:textId="77777777" w:rsidR="00EB63B1" w:rsidRDefault="00EB63B1">
            <w:pPr>
              <w:pStyle w:val="Intestazione"/>
              <w:spacing w:line="276" w:lineRule="auto"/>
              <w:jc w:val="center"/>
              <w:rPr>
                <w:sz w:val="18"/>
                <w:szCs w:val="18"/>
                <w:lang w:val="pt-BR"/>
              </w:rPr>
            </w:pPr>
          </w:p>
          <w:p w14:paraId="44174797" w14:textId="77777777" w:rsidR="00EB63B1" w:rsidRDefault="00EB63B1">
            <w:pPr>
              <w:pStyle w:val="Intestazione"/>
              <w:spacing w:line="276" w:lineRule="auto"/>
              <w:jc w:val="center"/>
            </w:pPr>
            <w:r>
              <w:t xml:space="preserve">bia </w:t>
            </w:r>
            <w:proofErr w:type="spellStart"/>
            <w:r>
              <w:t>Indipendèntzia</w:t>
            </w:r>
            <w:proofErr w:type="spellEnd"/>
            <w:r>
              <w:t>, 3</w:t>
            </w:r>
          </w:p>
          <w:p w14:paraId="4C2244F2" w14:textId="77777777" w:rsidR="00EB63B1" w:rsidRDefault="00EB63B1">
            <w:pPr>
              <w:pStyle w:val="Intestazione"/>
              <w:spacing w:line="276" w:lineRule="auto"/>
              <w:jc w:val="center"/>
              <w:rPr>
                <w:sz w:val="28"/>
              </w:rPr>
            </w:pPr>
            <w:proofErr w:type="gramStart"/>
            <w:r>
              <w:t xml:space="preserve">09090  </w:t>
            </w:r>
            <w:r>
              <w:rPr>
                <w:b/>
              </w:rPr>
              <w:t>BÀINI</w:t>
            </w:r>
            <w:proofErr w:type="gramEnd"/>
            <w:r>
              <w:rPr>
                <w:b/>
              </w:rPr>
              <w:t xml:space="preserve"> </w:t>
            </w:r>
            <w:r>
              <w:t xml:space="preserve"> (OR)</w:t>
            </w:r>
          </w:p>
        </w:tc>
      </w:tr>
      <w:tr w:rsidR="00EB63B1" w14:paraId="414295BB" w14:textId="77777777" w:rsidTr="00EB63B1">
        <w:trPr>
          <w:cantSplit/>
        </w:trPr>
        <w:tc>
          <w:tcPr>
            <w:tcW w:w="9742" w:type="dxa"/>
            <w:gridSpan w:val="3"/>
            <w:tcBorders>
              <w:top w:val="nil"/>
              <w:left w:val="single" w:sz="4" w:space="0" w:color="auto"/>
              <w:bottom w:val="single" w:sz="4" w:space="0" w:color="auto"/>
              <w:right w:val="single" w:sz="4" w:space="0" w:color="auto"/>
            </w:tcBorders>
            <w:hideMark/>
          </w:tcPr>
          <w:p w14:paraId="153F8CBA" w14:textId="77777777" w:rsidR="00EB63B1" w:rsidRDefault="00EB63B1">
            <w:pPr>
              <w:pStyle w:val="Titolo2"/>
              <w:tabs>
                <w:tab w:val="left" w:pos="6225"/>
              </w:tabs>
              <w:spacing w:before="40" w:line="276" w:lineRule="auto"/>
              <w:jc w:val="center"/>
              <w:rPr>
                <w:rFonts w:ascii="Times New Roman" w:eastAsiaTheme="minorEastAsia" w:hAnsi="Times New Roman"/>
                <w:b w:val="0"/>
                <w:sz w:val="18"/>
                <w:szCs w:val="18"/>
              </w:rPr>
            </w:pPr>
            <w:proofErr w:type="gramStart"/>
            <w:r>
              <w:rPr>
                <w:rFonts w:ascii="Times New Roman" w:eastAsiaTheme="minorEastAsia" w:hAnsi="Times New Roman"/>
                <w:b w:val="0"/>
                <w:sz w:val="18"/>
                <w:szCs w:val="18"/>
              </w:rPr>
              <w:t>Telefono  0783</w:t>
            </w:r>
            <w:proofErr w:type="gramEnd"/>
            <w:r>
              <w:rPr>
                <w:rFonts w:ascii="Times New Roman" w:eastAsiaTheme="minorEastAsia" w:hAnsi="Times New Roman"/>
                <w:b w:val="0"/>
                <w:sz w:val="18"/>
                <w:szCs w:val="18"/>
              </w:rPr>
              <w:t xml:space="preserve"> 939000    –     Telefax  0783 939023      –     C.F. e P. IVA  00073870958 </w:t>
            </w:r>
          </w:p>
          <w:p w14:paraId="4206860D" w14:textId="77777777" w:rsidR="00EB63B1" w:rsidRDefault="00EB63B1">
            <w:pPr>
              <w:pStyle w:val="Titolo2"/>
              <w:tabs>
                <w:tab w:val="left" w:pos="6225"/>
              </w:tabs>
              <w:spacing w:before="40" w:line="276" w:lineRule="auto"/>
              <w:jc w:val="center"/>
              <w:rPr>
                <w:rFonts w:ascii="Times New Roman" w:eastAsiaTheme="minorEastAsia" w:hAnsi="Times New Roman"/>
                <w:b w:val="0"/>
                <w:sz w:val="16"/>
                <w:szCs w:val="16"/>
                <w:lang w:val="fr-FR"/>
              </w:rPr>
            </w:pPr>
            <w:proofErr w:type="gramStart"/>
            <w:r>
              <w:rPr>
                <w:rFonts w:ascii="Times New Roman" w:eastAsiaTheme="minorEastAsia" w:hAnsi="Times New Roman"/>
                <w:b w:val="0"/>
                <w:sz w:val="16"/>
                <w:szCs w:val="16"/>
                <w:lang w:val="fr-FR"/>
              </w:rPr>
              <w:t>Internet:</w:t>
            </w:r>
            <w:proofErr w:type="gramEnd"/>
            <w:r>
              <w:rPr>
                <w:rFonts w:ascii="Times New Roman" w:eastAsiaTheme="minorEastAsia" w:hAnsi="Times New Roman"/>
                <w:b w:val="0"/>
                <w:sz w:val="16"/>
                <w:szCs w:val="16"/>
                <w:lang w:val="fr-FR"/>
              </w:rPr>
              <w:t xml:space="preserve"> </w:t>
            </w:r>
            <w:hyperlink r:id="rId6" w:history="1">
              <w:r>
                <w:rPr>
                  <w:rStyle w:val="Collegamentoipertestuale"/>
                  <w:rFonts w:eastAsiaTheme="minorEastAsia"/>
                  <w:b w:val="0"/>
                  <w:sz w:val="16"/>
                  <w:szCs w:val="16"/>
                  <w:lang w:val="fr-FR"/>
                </w:rPr>
                <w:t>h</w:t>
              </w:r>
            </w:hyperlink>
            <w:r>
              <w:rPr>
                <w:rStyle w:val="Collegamentoipertestuale"/>
                <w:rFonts w:eastAsiaTheme="minorEastAsia"/>
                <w:b w:val="0"/>
                <w:sz w:val="16"/>
                <w:szCs w:val="16"/>
                <w:lang w:val="fr-FR"/>
              </w:rPr>
              <w:t>ttps://www.comune.villaverde.oristano.it</w:t>
            </w:r>
            <w:r>
              <w:rPr>
                <w:rFonts w:ascii="Times New Roman" w:eastAsiaTheme="minorEastAsia" w:hAnsi="Times New Roman"/>
                <w:b w:val="0"/>
                <w:sz w:val="16"/>
                <w:szCs w:val="16"/>
                <w:lang w:val="fr-FR"/>
              </w:rPr>
              <w:t xml:space="preserve">  E-mail: </w:t>
            </w:r>
            <w:hyperlink r:id="rId7" w:history="1">
              <w:r>
                <w:rPr>
                  <w:rStyle w:val="Collegamentoipertestuale"/>
                  <w:rFonts w:eastAsiaTheme="minorEastAsia"/>
                  <w:b w:val="0"/>
                  <w:sz w:val="16"/>
                  <w:szCs w:val="16"/>
                  <w:lang w:val="fr-FR"/>
                </w:rPr>
                <w:t>villaverde@comune.villaverde.oristano.it</w:t>
              </w:r>
            </w:hyperlink>
            <w:r>
              <w:rPr>
                <w:rFonts w:ascii="Times New Roman" w:eastAsiaTheme="minorEastAsia" w:hAnsi="Times New Roman"/>
                <w:b w:val="0"/>
                <w:sz w:val="16"/>
                <w:szCs w:val="16"/>
                <w:lang w:val="fr-FR"/>
              </w:rPr>
              <w:t xml:space="preserve"> </w:t>
            </w:r>
          </w:p>
          <w:p w14:paraId="0F516955" w14:textId="77777777" w:rsidR="00EB63B1" w:rsidRDefault="00EB63B1">
            <w:pPr>
              <w:pStyle w:val="Titolo2"/>
              <w:tabs>
                <w:tab w:val="left" w:pos="6225"/>
              </w:tabs>
              <w:spacing w:before="40" w:line="276" w:lineRule="auto"/>
              <w:jc w:val="center"/>
              <w:rPr>
                <w:rFonts w:ascii="Times New Roman" w:eastAsiaTheme="minorEastAsia" w:hAnsi="Times New Roman"/>
                <w:sz w:val="16"/>
                <w:szCs w:val="16"/>
                <w:lang w:val="fr-FR"/>
              </w:rPr>
            </w:pPr>
            <w:r>
              <w:rPr>
                <w:rFonts w:ascii="Times New Roman" w:eastAsiaTheme="minorEastAsia" w:hAnsi="Times New Roman"/>
                <w:b w:val="0"/>
                <w:sz w:val="16"/>
                <w:szCs w:val="16"/>
                <w:lang w:val="fr-FR"/>
              </w:rPr>
              <w:t>PEC</w:t>
            </w:r>
            <w:proofErr w:type="gramStart"/>
            <w:r>
              <w:rPr>
                <w:rFonts w:ascii="Times New Roman" w:eastAsiaTheme="minorEastAsia" w:hAnsi="Times New Roman"/>
                <w:b w:val="0"/>
                <w:sz w:val="16"/>
                <w:szCs w:val="16"/>
                <w:lang w:val="fr-FR"/>
              </w:rPr>
              <w:t>.:</w:t>
            </w:r>
            <w:proofErr w:type="gramEnd"/>
            <w:r>
              <w:rPr>
                <w:rFonts w:ascii="Times New Roman" w:eastAsiaTheme="minorEastAsia" w:hAnsi="Times New Roman"/>
                <w:b w:val="0"/>
                <w:sz w:val="16"/>
                <w:szCs w:val="16"/>
                <w:lang w:val="fr-FR"/>
              </w:rPr>
              <w:t xml:space="preserve"> </w:t>
            </w:r>
            <w:r>
              <w:rPr>
                <w:rFonts w:ascii="Times New Roman" w:eastAsiaTheme="minorEastAsia" w:hAnsi="Times New Roman" w:cs="Times New Roman"/>
                <w:b w:val="0"/>
                <w:bCs w:val="0"/>
                <w:color w:val="0000FF"/>
                <w:sz w:val="16"/>
                <w:szCs w:val="16"/>
              </w:rPr>
              <w:t>comune.villaverde@legalmail.it</w:t>
            </w:r>
          </w:p>
        </w:tc>
      </w:tr>
    </w:tbl>
    <w:p w14:paraId="6548BFB4" w14:textId="77777777" w:rsidR="009F7CE8" w:rsidRDefault="009F7CE8"/>
    <w:p w14:paraId="19CC5449" w14:textId="77777777" w:rsidR="007D7739" w:rsidRDefault="007D7739"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p>
    <w:p w14:paraId="3DA0C579" w14:textId="77777777" w:rsidR="007D7739" w:rsidRDefault="007D7739"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p>
    <w:p w14:paraId="1B71C147" w14:textId="77777777" w:rsidR="007D7739" w:rsidRDefault="007D7739"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p>
    <w:p w14:paraId="1E01706E" w14:textId="5BC47963" w:rsidR="00EB63B1" w:rsidRDefault="00EB63B1"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r>
        <w:rPr>
          <w:rFonts w:ascii="PalatinoLinotype-Bold" w:eastAsiaTheme="minorHAnsi" w:hAnsi="PalatinoLinotype-Bold" w:cs="PalatinoLinotype-Bold"/>
          <w:b/>
          <w:bCs/>
          <w:color w:val="4F82BE"/>
          <w:sz w:val="46"/>
          <w:szCs w:val="46"/>
          <w:lang w:eastAsia="en-US"/>
          <w14:ligatures w14:val="standardContextual"/>
        </w:rPr>
        <w:t>CODICE DI COMPORTAMENTO DEI</w:t>
      </w:r>
    </w:p>
    <w:p w14:paraId="3842DB8B" w14:textId="77777777" w:rsidR="00EB63B1" w:rsidRDefault="00EB63B1"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r>
        <w:rPr>
          <w:rFonts w:ascii="PalatinoLinotype-Bold" w:eastAsiaTheme="minorHAnsi" w:hAnsi="PalatinoLinotype-Bold" w:cs="PalatinoLinotype-Bold"/>
          <w:b/>
          <w:bCs/>
          <w:color w:val="4F82BE"/>
          <w:sz w:val="46"/>
          <w:szCs w:val="46"/>
          <w:lang w:eastAsia="en-US"/>
          <w14:ligatures w14:val="standardContextual"/>
        </w:rPr>
        <w:t>DIPENDENTI DEL</w:t>
      </w:r>
    </w:p>
    <w:p w14:paraId="77ED2415" w14:textId="287D19ED" w:rsidR="00EB63B1" w:rsidRDefault="00EB63B1" w:rsidP="00EB63B1">
      <w:pPr>
        <w:widowControl/>
        <w:jc w:val="center"/>
        <w:rPr>
          <w:rFonts w:ascii="PalatinoLinotype-Bold" w:eastAsiaTheme="minorHAnsi" w:hAnsi="PalatinoLinotype-Bold" w:cs="PalatinoLinotype-Bold"/>
          <w:b/>
          <w:bCs/>
          <w:color w:val="4F82BE"/>
          <w:sz w:val="46"/>
          <w:szCs w:val="46"/>
          <w:lang w:eastAsia="en-US"/>
          <w14:ligatures w14:val="standardContextual"/>
        </w:rPr>
      </w:pPr>
      <w:r>
        <w:rPr>
          <w:rFonts w:ascii="PalatinoLinotype-Bold" w:eastAsiaTheme="minorHAnsi" w:hAnsi="PalatinoLinotype-Bold" w:cs="PalatinoLinotype-Bold"/>
          <w:b/>
          <w:bCs/>
          <w:color w:val="4F82BE"/>
          <w:sz w:val="46"/>
          <w:szCs w:val="46"/>
          <w:lang w:eastAsia="en-US"/>
          <w14:ligatures w14:val="standardContextual"/>
        </w:rPr>
        <w:t>COMUNE DI VILLA VERDE</w:t>
      </w:r>
    </w:p>
    <w:p w14:paraId="53C0AB31" w14:textId="5F8E297F"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r>
        <w:rPr>
          <w:rFonts w:ascii="PalatinoLinotype-Bold" w:eastAsiaTheme="minorHAnsi" w:hAnsi="PalatinoLinotype-Bold" w:cs="PalatinoLinotype-Bold"/>
          <w:b/>
          <w:bCs/>
          <w:color w:val="4F82BE"/>
          <w:sz w:val="40"/>
          <w:szCs w:val="40"/>
          <w:lang w:eastAsia="en-US"/>
          <w14:ligatures w14:val="standardContextual"/>
        </w:rPr>
        <w:t>AGGIORNAMENTO 2023</w:t>
      </w:r>
    </w:p>
    <w:p w14:paraId="7258BFBC"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5F124413"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26B6C071"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6DABF583"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27184B5B"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7771C631"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75A7C144"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1B6000EF"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0D3A74F3"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5F1A20CA"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37C44520" w14:textId="77777777" w:rsidR="00EB63B1" w:rsidRDefault="00EB63B1" w:rsidP="00EB63B1">
      <w:pPr>
        <w:jc w:val="center"/>
        <w:rPr>
          <w:rFonts w:ascii="PalatinoLinotype-Bold" w:eastAsiaTheme="minorHAnsi" w:hAnsi="PalatinoLinotype-Bold" w:cs="PalatinoLinotype-Bold"/>
          <w:b/>
          <w:bCs/>
          <w:color w:val="4F82BE"/>
          <w:sz w:val="40"/>
          <w:szCs w:val="40"/>
          <w:lang w:eastAsia="en-US"/>
          <w14:ligatures w14:val="standardContextual"/>
        </w:rPr>
      </w:pPr>
    </w:p>
    <w:p w14:paraId="47FDC278" w14:textId="77777777" w:rsidR="00EB63B1" w:rsidRDefault="00EB63B1" w:rsidP="007D7739">
      <w:pPr>
        <w:rPr>
          <w:rFonts w:ascii="PalatinoLinotype-Bold" w:eastAsiaTheme="minorHAnsi" w:hAnsi="PalatinoLinotype-Bold" w:cs="PalatinoLinotype-Bold"/>
          <w:b/>
          <w:bCs/>
          <w:color w:val="4F82BE"/>
          <w:sz w:val="40"/>
          <w:szCs w:val="40"/>
          <w:lang w:eastAsia="en-US"/>
          <w14:ligatures w14:val="standardContextual"/>
        </w:rPr>
      </w:pPr>
    </w:p>
    <w:p w14:paraId="74F23711" w14:textId="77777777" w:rsidR="007D7739" w:rsidRDefault="007D7739" w:rsidP="007D7739">
      <w:pPr>
        <w:rPr>
          <w:rFonts w:ascii="PalatinoLinotype-Bold" w:eastAsiaTheme="minorHAnsi" w:hAnsi="PalatinoLinotype-Bold" w:cs="PalatinoLinotype-Bold"/>
          <w:b/>
          <w:bCs/>
          <w:color w:val="4F82BE"/>
          <w:sz w:val="40"/>
          <w:szCs w:val="40"/>
          <w:lang w:eastAsia="en-US"/>
          <w14:ligatures w14:val="standardContextual"/>
        </w:rPr>
      </w:pPr>
    </w:p>
    <w:p w14:paraId="6417F3B3"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 – Disposizioni di carattere generale e ambito di applicazione</w:t>
      </w:r>
    </w:p>
    <w:p w14:paraId="0B9BD8C5"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p>
    <w:p w14:paraId="583B1D02" w14:textId="73AC6394"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 xml:space="preserve">Il presente codice di comportamento, di seguito denominato “Codice”, definisce, ai fini dell’articolo 54 del decreto legislativo 30 marzo 2001, n. </w:t>
      </w:r>
      <w:r w:rsidRPr="00BD593F">
        <w:rPr>
          <w:rFonts w:ascii="PalatinoLinotype-Roman" w:eastAsiaTheme="minorHAnsi" w:hAnsi="PalatinoLinotype-Roman" w:cs="PalatinoLinotype-Roman"/>
          <w:sz w:val="22"/>
          <w:szCs w:val="22"/>
          <w:lang w:eastAsia="en-US"/>
          <w14:ligatures w14:val="standardContextual"/>
        </w:rPr>
        <w:t>165</w:t>
      </w:r>
      <w:r w:rsidR="00263FFC" w:rsidRPr="00BD593F">
        <w:rPr>
          <w:rFonts w:ascii="PalatinoLinotype-Roman" w:eastAsiaTheme="minorHAnsi" w:hAnsi="PalatinoLinotype-Roman" w:cs="PalatinoLinotype-Roman"/>
          <w:sz w:val="22"/>
          <w:szCs w:val="22"/>
          <w:lang w:eastAsia="en-US"/>
          <w14:ligatures w14:val="standardContextual"/>
        </w:rPr>
        <w:t xml:space="preserve"> e ai sensi del D.P.R. 62/2013</w:t>
      </w:r>
      <w:r w:rsidRPr="00BD593F">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 doveri minimi di diligenza, lealtà, imparzialità e buona condotta che i pubblici dipendenti di questo Comune sono tenuti ad osservare. Pertanto, si applica a tutti coloro che hanno un rapporto di lavoro subordinato con questo Comune.</w:t>
      </w:r>
    </w:p>
    <w:p w14:paraId="069267A4"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75B450CD" w14:textId="05FC4468"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Comune estende, per quanto compatibili, gli obblighi di condotta previsti dal presente Codice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w:t>
      </w:r>
    </w:p>
    <w:p w14:paraId="56C30444"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2D9CCCD5" w14:textId="5B943418"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Nei contratti individuali di lavoro subordinato, negli atti di incarico, nei contratti di acquisizioni delle collaborazioni, delle consulenze e delle forniture, servizi e lavori sono inserite apposite clausole che prevedono il rispetto del presente Codice.</w:t>
      </w:r>
    </w:p>
    <w:p w14:paraId="00A88807"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32628067" w14:textId="38229221"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 contratti dovranno altresì prevedere clausole di risoluzione e decadenza del rapporto in caso di violazioni gravi e ripetute degli obblighi derivanti dallo stesso, mentre, nei casi meno gravi potranno prevedere e disciplinare clausole comportanti penalità economiche, eventualmente in misura percentuale rispetto ai compensi/corrispettivi previsti.</w:t>
      </w:r>
    </w:p>
    <w:p w14:paraId="1A46E81D"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07E4D09B"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2 – Principi generali</w:t>
      </w:r>
    </w:p>
    <w:p w14:paraId="0E9B3EFE"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p>
    <w:p w14:paraId="623EC5FA" w14:textId="0040CC80"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osserva la Costituzione della Repubblica, servendo la nazione con disciplina e onore e conformando la propria condotta ai principi di buon andamento ed imparzialità dell’azione amministrativa. Il dipendente svolge i propri compiti nel rispetto della legge, dello Statuto e dei regolamenti vigenti nel Comune, perseguendo l’interesse pubblico senza abusare della posizione e dei poteri di cui è titolare.</w:t>
      </w:r>
    </w:p>
    <w:p w14:paraId="6D86DE8E"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073DE26F" w14:textId="06B76ED6"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rispetta altresì i principi di integrità, correttezza, buona fede, proporzionalità, obiettività, trasparenza, equità e ragionevolezza e agisce in posizione di indipendenza e imparzialità, astenendosi in caso di conflitto di interessi, anche potenziali.</w:t>
      </w:r>
    </w:p>
    <w:p w14:paraId="61AD1DB7"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6A6AE097" w14:textId="2DB14400"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usa a fini privati le informazioni di cui dispone per ragioni di ufficio, evita situazioni e comportamenti, anche fuori dall’orario di servizio, che possano ostacolare il corretto adempimento dei compiti o nuocere agli interessi o all’immagine della pubblica amministrazione. Prerogative e poteri pubblici sono esercitati unicamente per le finalità di interesse generale per le quali sono stati conferiti.</w:t>
      </w:r>
    </w:p>
    <w:p w14:paraId="4EB8CD95"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2233429C" w14:textId="484E937F"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2548DD4C"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4CE42FDF" w14:textId="4496C699"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14:paraId="2AA048A2"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7E27CDE8" w14:textId="182AA2EF"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7F63AD27"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3D999560" w14:textId="6E4B8E90"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Nei rapporti con i colleghi e i superiori o subordinati, il dipendente tiene un comportamento ispirato a fiducia, collaborazione e correttezza e favorisce le pari opportunità. Evita atti e atteggiamenti caratterizzati da animosità o conflittualità e in nessun caso lede la dignità di colleghi e superiori o subordinati.</w:t>
      </w:r>
    </w:p>
    <w:p w14:paraId="6B44021C"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480463EF"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3 – Regali, compensi e altre utilità</w:t>
      </w:r>
    </w:p>
    <w:p w14:paraId="676FAA2C"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p>
    <w:p w14:paraId="6B7A9C6A"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chiede, né sollecita, per sé o per altri, regali o altre utilità.</w:t>
      </w:r>
    </w:p>
    <w:p w14:paraId="1F450A7E" w14:textId="68DB51F9"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o servizio da soggetti che possono trarre benefici da decisioni o attività inerenti all’ufficio o servizio, né da soggetti nei cui confronti è o sta per essere chiamato a svolgere o a esercitare attività o potestà proprie dell’ufficio o servizio ricoperto.</w:t>
      </w:r>
    </w:p>
    <w:p w14:paraId="2041A59B"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13B89666" w14:textId="4B95F344"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w:t>
      </w:r>
    </w:p>
    <w:p w14:paraId="362AE9AC"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38FA570C" w14:textId="137C0CF8"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 regali e le altre utilità comunque ricevuti fuori dai casi consentiti dal presente articolo, a cura dello stesso dipendente cui siano pervenuti, sono immediatamente messi a disposizione dell’Amministrazione Comunale per la restituzione o per essere devoluti a fini istituzionali.</w:t>
      </w:r>
    </w:p>
    <w:p w14:paraId="3C433A30"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40AD2AD0" w14:textId="69FB7E05"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Potranno essere ammessi unicamente regali ed utilità di modico valore effettuati occasionalmente nell’ambito delle normali relazioni di cortesia. Il modico valore per ciascun regalo o utilità ricevibile dal singolo dipendente è fissato, in via orientativa, in euro 150.</w:t>
      </w:r>
    </w:p>
    <w:p w14:paraId="13F0C03A" w14:textId="1FE09AD6"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Sono fatti salvi i regali di valore superiore che siano frutto di più contribuzioni da parte del personale del comune in occasione di pensionamenti, compleanni o altre ricorrenze legate alla sfera privata del dipendente.</w:t>
      </w:r>
    </w:p>
    <w:p w14:paraId="61E62B61"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31B5A9DA" w14:textId="5EEEC991"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 regali ricevuti fuori dai casi consentiti sono immediatamente restituiti. Qualora ciò non sia possibile (per esempio perché il donatore è anonimo o non risulti comunque rintracciabile), vengono consegnati al responsabile dell’ufficio per la successiva devoluzione in beneficenza, oppure, ove non sia possibile, per l'utilizzo a fini istituzionali, secondo la specifica caratteristica degli stessi:</w:t>
      </w:r>
    </w:p>
    <w:p w14:paraId="42E000EF" w14:textId="11FCC350" w:rsidR="00EB63B1" w:rsidRDefault="00EB63B1" w:rsidP="00EB63B1">
      <w:pPr>
        <w:pStyle w:val="Paragrafoelenco"/>
        <w:widowControl/>
        <w:numPr>
          <w:ilvl w:val="0"/>
          <w:numId w:val="1"/>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lastRenderedPageBreak/>
        <w:t>prodotti tecnologici, oggetti da scrivania – da impiegare nell’ambito delle</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dotazioni strumentali dell’Ente (da parte dei competenti uffici, informatica ed</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economato);</w:t>
      </w:r>
    </w:p>
    <w:p w14:paraId="19852FB0" w14:textId="6AB67BE3" w:rsidR="00EB63B1" w:rsidRDefault="00EB63B1" w:rsidP="00EB63B1">
      <w:pPr>
        <w:pStyle w:val="Paragrafoelenco"/>
        <w:widowControl/>
        <w:numPr>
          <w:ilvl w:val="0"/>
          <w:numId w:val="1"/>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t>gastronomia, da devolvere a mense cittadine dei poveri (da parte del settore</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sociale)</w:t>
      </w:r>
      <w:r>
        <w:rPr>
          <w:rFonts w:ascii="PalatinoLinotype-Roman" w:eastAsiaTheme="minorHAnsi" w:hAnsi="PalatinoLinotype-Roman" w:cs="PalatinoLinotype-Roman"/>
          <w:sz w:val="22"/>
          <w:szCs w:val="22"/>
          <w:lang w:eastAsia="en-US"/>
          <w14:ligatures w14:val="standardContextual"/>
        </w:rPr>
        <w:t>;</w:t>
      </w:r>
    </w:p>
    <w:p w14:paraId="25833134" w14:textId="530B16A4" w:rsidR="00EB63B1" w:rsidRDefault="00EB63B1" w:rsidP="00EB63B1">
      <w:pPr>
        <w:pStyle w:val="Paragrafoelenco"/>
        <w:widowControl/>
        <w:numPr>
          <w:ilvl w:val="0"/>
          <w:numId w:val="1"/>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t>libri e musica, da attribuire al patrimonio della Biblioteca comunale;</w:t>
      </w:r>
    </w:p>
    <w:p w14:paraId="040AE8DF" w14:textId="3C8CCB90" w:rsidR="00EB63B1" w:rsidRDefault="00EB63B1" w:rsidP="00EB63B1">
      <w:pPr>
        <w:pStyle w:val="Paragrafoelenco"/>
        <w:widowControl/>
        <w:numPr>
          <w:ilvl w:val="0"/>
          <w:numId w:val="1"/>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t>abbigliamento, accessori in genere compresi i prodotti di bellezza, oggettistica</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varia, da devolvere a associazioni di volontariato per l’aiuto a famiglie bisognose</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(da parte del settore sociale).</w:t>
      </w:r>
    </w:p>
    <w:p w14:paraId="0489A063" w14:textId="77777777" w:rsidR="00EB63B1" w:rsidRPr="00EB63B1" w:rsidRDefault="00EB63B1" w:rsidP="00EB63B1">
      <w:pPr>
        <w:pStyle w:val="Paragrafoelenco"/>
        <w:widowControl/>
        <w:jc w:val="both"/>
        <w:rPr>
          <w:rFonts w:ascii="PalatinoLinotype-Roman" w:eastAsiaTheme="minorHAnsi" w:hAnsi="PalatinoLinotype-Roman" w:cs="PalatinoLinotype-Roman"/>
          <w:sz w:val="22"/>
          <w:szCs w:val="22"/>
          <w:lang w:eastAsia="en-US"/>
          <w14:ligatures w14:val="standardContextual"/>
        </w:rPr>
      </w:pPr>
    </w:p>
    <w:p w14:paraId="19A80AE5" w14:textId="31B53783"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 xml:space="preserve">Il dipendente non accetta incarichi di collaborazione da soggetti privati che abbiano, o abbiano avuto nel biennio precedente, un interesse economico significativo in decisioni o attività inerenti all’ufficio o servizio di appartenenza </w:t>
      </w:r>
      <w:r>
        <w:rPr>
          <w:rFonts w:ascii="ArialMT" w:eastAsiaTheme="minorHAnsi" w:hAnsi="ArialMT" w:cs="ArialMT"/>
          <w:sz w:val="22"/>
          <w:szCs w:val="22"/>
          <w:lang w:eastAsia="en-US"/>
          <w14:ligatures w14:val="standardContextual"/>
        </w:rPr>
        <w:t>(</w:t>
      </w:r>
      <w:r>
        <w:rPr>
          <w:rFonts w:ascii="PalatinoLinotype-Roman" w:eastAsiaTheme="minorHAnsi" w:hAnsi="PalatinoLinotype-Roman" w:cs="PalatinoLinotype-Roman"/>
          <w:sz w:val="22"/>
          <w:szCs w:val="22"/>
          <w:lang w:eastAsia="en-US"/>
          <w14:ligatures w14:val="standardContextual"/>
        </w:rPr>
        <w:t>a titolo esemplificativo, i soggetti controparte dell’amministrazione in azioni legali, gli aggiudicatari di appalti e sovvenzioni, i destinatari di autorizzazioni e i destinatari di attività di controllo o ispettiva qualora di competenza del servizio di appartenenza del dipendente).</w:t>
      </w:r>
    </w:p>
    <w:p w14:paraId="22D86295"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5EB6BB32"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4 – Partecipazione ad associazioni e organizzazioni</w:t>
      </w:r>
    </w:p>
    <w:p w14:paraId="66D869F1"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p>
    <w:p w14:paraId="6A20E944" w14:textId="31EDBCCB"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Nel rispetto della disciplina vigente del diritto di associazione, il dipendente comunica tempestivamente al responsabile dell’ufficio o servizio di appartenenza la propria adesione o appartenenza ad associazioni o organizzazioni, a prescindere dal loro carattere riservato o meno, i cui ambiti di interessi possono interferire con lo svolgimento dell’attività dell’ufficio o servizio. Il presente comma non si applica all’adesione a partiti politici o a sindacati o ad associazioni di natura religiosa.</w:t>
      </w:r>
    </w:p>
    <w:p w14:paraId="5EC5193C"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556AD292" w14:textId="46D1913E"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si astiene dal trattare pratiche relative ad associazioni di cui è membro quando è prevista l’erogazione di contributi economici.</w:t>
      </w:r>
    </w:p>
    <w:p w14:paraId="3F601413"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6E7D6277" w14:textId="6AB4A6E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Gli ambiti di interesse che possono interferire con lo svolgimento dell’attività dell’ufficio o servizio di appartenenza sono quelli che coincidono con la responsabilità amministrativa di cui il dirigente, il funzionario titolare di incarico di EQ o il dipendente (in quanto responsabile del procedimento) sono titolari all’interno dell’Amministrazione Comunale (ad es. per il dirigente, funzionario titolare di incarico di EQ o dipendente con responsabilità di procedimento alla cultura può interferire con l’attività dell’ufficio l’essere Presidente, Vice Presidente, Segretario o Componente dell’Organo Esecutivo di una Associazione con finalità culturali; per il dirigente, funzionario titolare di incarico di EQ o dipendente con responsabilità di procedimento al turismo o allo sport con l’essere Presidente, la Vice Presidente, Segretario o componente dell’organo esecutivo di una associazione turistica o sportiva, ecc.).</w:t>
      </w:r>
    </w:p>
    <w:p w14:paraId="0C27FF18"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5ADEDF47" w14:textId="01A73E96"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fa pressioni con i colleghi o gli utenti dei servizi o con i soggetti con i quali venga in contatto durante l’attività professionale per aderire ad associazioni e organizzazioni di alcun tipo, indipendentemente dal carattere delle stesse o dalla possibilità o meno di derivarne vantaggi economici, personali e di carriera.</w:t>
      </w:r>
    </w:p>
    <w:p w14:paraId="379778F0"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29FD6D0E" w14:textId="3AB5DA8F"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deve comunicare, entro 30 giorni, al proprio superiore gerarchico, la propria adesione o appartenenza ad associazioni od organizzazioni i cui interessi possono interferire con lo svolgimento dell’attività dell’ufficio o servizio di appartenenza.</w:t>
      </w:r>
    </w:p>
    <w:p w14:paraId="0CCF1879"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7CD5A8F8" w14:textId="7EB9CE93"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In caso di accertata incompatibilità, il dipendente dovrà essere trasferito ad altro ufficio, salvo che vengano meno le ragioni di incompatibilità a seguito di rinuncia del dipendente all’adesione o appartenenza all’associazione, organizzazione o altri organismi.</w:t>
      </w:r>
    </w:p>
    <w:p w14:paraId="06ACEE68" w14:textId="77777777"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p>
    <w:p w14:paraId="2BC0366B"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5 – Comunicazione degli interessi finanziari e conflitti di interesse</w:t>
      </w:r>
    </w:p>
    <w:p w14:paraId="23FAA9C7"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p>
    <w:p w14:paraId="2F20D872" w14:textId="1279E9FB"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Fermi restando gli obblighi di trasparenza previsti da leggi o regolamenti, il dipendente, all’atto di assegnazione all’ufficio o servizio, informa per iscritto superiore gerarchico di tutti i rapporti, diretti o indiretti, di collaborazione con soggetti privati in qualunque modo retribuiti che lo stesso abbia o abbia avuto negli ultimi tre anni, precisando:</w:t>
      </w:r>
    </w:p>
    <w:p w14:paraId="28C168B9" w14:textId="672A99EB" w:rsidR="00EB63B1" w:rsidRPr="00EB63B1" w:rsidRDefault="00EB63B1" w:rsidP="00EB63B1">
      <w:pPr>
        <w:pStyle w:val="Paragrafoelenco"/>
        <w:widowControl/>
        <w:numPr>
          <w:ilvl w:val="0"/>
          <w:numId w:val="2"/>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t>se in prima persona, o suoi parenti o affini entro il secondo grado, il coniuge o il convivente abbiano ancora rapporti finanziari con il soggetto con cui ha avuto i già menzionati rapporti di collaborazione;</w:t>
      </w:r>
    </w:p>
    <w:p w14:paraId="2315C84D" w14:textId="67210E53" w:rsidR="00EB63B1" w:rsidRDefault="00EB63B1" w:rsidP="00EB63B1">
      <w:pPr>
        <w:pStyle w:val="Paragrafoelenco"/>
        <w:widowControl/>
        <w:numPr>
          <w:ilvl w:val="0"/>
          <w:numId w:val="2"/>
        </w:numPr>
        <w:jc w:val="both"/>
        <w:rPr>
          <w:rFonts w:ascii="PalatinoLinotype-Roman" w:eastAsiaTheme="minorHAnsi" w:hAnsi="PalatinoLinotype-Roman" w:cs="PalatinoLinotype-Roman"/>
          <w:sz w:val="22"/>
          <w:szCs w:val="22"/>
          <w:lang w:eastAsia="en-US"/>
          <w14:ligatures w14:val="standardContextual"/>
        </w:rPr>
      </w:pPr>
      <w:r w:rsidRPr="00EB63B1">
        <w:rPr>
          <w:rFonts w:ascii="PalatinoLinotype-Roman" w:eastAsiaTheme="minorHAnsi" w:hAnsi="PalatinoLinotype-Roman" w:cs="PalatinoLinotype-Roman"/>
          <w:sz w:val="22"/>
          <w:szCs w:val="22"/>
          <w:lang w:eastAsia="en-US"/>
          <w14:ligatures w14:val="standardContextual"/>
        </w:rPr>
        <w:t>se tali rapporti siano intercorsi o intercorrano con soggetti che abbiano interessi in</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attività o decisioni inerenti all’ufficio o servizio, limitatamente alle pratiche a lui</w:t>
      </w:r>
      <w:r>
        <w:rPr>
          <w:rFonts w:ascii="PalatinoLinotype-Roman" w:eastAsiaTheme="minorHAnsi" w:hAnsi="PalatinoLinotype-Roman" w:cs="PalatinoLinotype-Roman"/>
          <w:sz w:val="22"/>
          <w:szCs w:val="22"/>
          <w:lang w:eastAsia="en-US"/>
          <w14:ligatures w14:val="standardContextual"/>
        </w:rPr>
        <w:t xml:space="preserve"> </w:t>
      </w:r>
      <w:r w:rsidRPr="00EB63B1">
        <w:rPr>
          <w:rFonts w:ascii="PalatinoLinotype-Roman" w:eastAsiaTheme="minorHAnsi" w:hAnsi="PalatinoLinotype-Roman" w:cs="PalatinoLinotype-Roman"/>
          <w:sz w:val="22"/>
          <w:szCs w:val="22"/>
          <w:lang w:eastAsia="en-US"/>
          <w14:ligatures w14:val="standardContextual"/>
        </w:rPr>
        <w:t>affidate.</w:t>
      </w:r>
    </w:p>
    <w:p w14:paraId="0951049E" w14:textId="77777777" w:rsidR="00EB63B1" w:rsidRPr="00EB63B1" w:rsidRDefault="00EB63B1" w:rsidP="00EB63B1">
      <w:pPr>
        <w:pStyle w:val="Paragrafoelenco"/>
        <w:widowControl/>
        <w:jc w:val="both"/>
        <w:rPr>
          <w:rFonts w:ascii="PalatinoLinotype-Roman" w:eastAsiaTheme="minorHAnsi" w:hAnsi="PalatinoLinotype-Roman" w:cs="PalatinoLinotype-Roman"/>
          <w:sz w:val="22"/>
          <w:szCs w:val="22"/>
          <w:lang w:eastAsia="en-US"/>
          <w14:ligatures w14:val="standardContextual"/>
        </w:rPr>
      </w:pPr>
    </w:p>
    <w:p w14:paraId="7B0F327E" w14:textId="2121B71A"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soggetto che riceve la comunicazione di cui al comma 1, ove dovesse rilevare una situazione di incompatibilità, invita per iscritto il dipendente a sanarla formalmente, e adotta le misure organizzative necessarie più opportune in relazione al caso, quali a titolo esemplificativo:</w:t>
      </w:r>
    </w:p>
    <w:p w14:paraId="11110B3B" w14:textId="49903897" w:rsidR="00EB63B1" w:rsidRPr="00AC75F4" w:rsidRDefault="00EB63B1" w:rsidP="00AC75F4">
      <w:pPr>
        <w:pStyle w:val="Paragrafoelenco"/>
        <w:widowControl/>
        <w:numPr>
          <w:ilvl w:val="0"/>
          <w:numId w:val="3"/>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misure di rotazione del personale nello svolgimento delle attività dell’ufficio;</w:t>
      </w:r>
    </w:p>
    <w:p w14:paraId="54D74320" w14:textId="6FEDC6B1" w:rsidR="00EB63B1" w:rsidRDefault="00EB63B1" w:rsidP="00EB63B1">
      <w:pPr>
        <w:pStyle w:val="Paragrafoelenco"/>
        <w:widowControl/>
        <w:numPr>
          <w:ilvl w:val="0"/>
          <w:numId w:val="3"/>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l’assegnazione al dipendente interessato di funzioni esclusivamente istruttorie sul</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 xml:space="preserve">procedimento con avocazione a </w:t>
      </w:r>
      <w:r w:rsidR="00AC75F4" w:rsidRPr="00AC75F4">
        <w:rPr>
          <w:rFonts w:ascii="PalatinoLinotype-Roman" w:eastAsiaTheme="minorHAnsi" w:hAnsi="PalatinoLinotype-Roman" w:cs="PalatinoLinotype-Roman"/>
          <w:sz w:val="22"/>
          <w:szCs w:val="22"/>
          <w:lang w:eastAsia="en-US"/>
          <w14:ligatures w14:val="standardContextual"/>
        </w:rPr>
        <w:t>sé</w:t>
      </w:r>
      <w:r w:rsidRPr="00AC75F4">
        <w:rPr>
          <w:rFonts w:ascii="PalatinoLinotype-Roman" w:eastAsiaTheme="minorHAnsi" w:hAnsi="PalatinoLinotype-Roman" w:cs="PalatinoLinotype-Roman"/>
          <w:sz w:val="22"/>
          <w:szCs w:val="22"/>
          <w:lang w:eastAsia="en-US"/>
          <w14:ligatures w14:val="standardContextual"/>
        </w:rPr>
        <w:t xml:space="preserve"> stesso dell’adozione dell’atto finale;</w:t>
      </w:r>
    </w:p>
    <w:p w14:paraId="61370F58" w14:textId="0E1D6509" w:rsidR="00EB63B1" w:rsidRDefault="00EB63B1" w:rsidP="00EB63B1">
      <w:pPr>
        <w:pStyle w:val="Paragrafoelenco"/>
        <w:widowControl/>
        <w:numPr>
          <w:ilvl w:val="0"/>
          <w:numId w:val="3"/>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l’assegnazione del dipendente ad altro ufficio.</w:t>
      </w:r>
    </w:p>
    <w:p w14:paraId="7B52C0A6" w14:textId="77777777" w:rsidR="00AC75F4" w:rsidRPr="00AC75F4" w:rsidRDefault="00AC75F4" w:rsidP="00AC75F4">
      <w:pPr>
        <w:pStyle w:val="Paragrafoelenco"/>
        <w:widowControl/>
        <w:jc w:val="both"/>
        <w:rPr>
          <w:rFonts w:ascii="PalatinoLinotype-Roman" w:eastAsiaTheme="minorHAnsi" w:hAnsi="PalatinoLinotype-Roman" w:cs="PalatinoLinotype-Roman"/>
          <w:sz w:val="22"/>
          <w:szCs w:val="22"/>
          <w:lang w:eastAsia="en-US"/>
          <w14:ligatures w14:val="standardContextual"/>
        </w:rPr>
      </w:pPr>
    </w:p>
    <w:p w14:paraId="5336EF98" w14:textId="77659A9F"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si astiene dal prendere decisioni o svolgere attività inerenti alle sue mansioni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situazioni di conflitto, anche potenziale, di interessi con interessi personali, del coniuge,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conviventi, di parenti, di affini entro il secondo grado. Il conflitto può riguardare interessi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qualsiasi natura, anche non patrimoniali, come quelli derivanti dall’intento di voler</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assecondare pressioni politiche, sindacali o dei superiori gerarchici.</w:t>
      </w:r>
    </w:p>
    <w:p w14:paraId="1403A196" w14:textId="77777777" w:rsidR="00AC75F4" w:rsidRDefault="00AC75F4" w:rsidP="00EB63B1">
      <w:pPr>
        <w:widowControl/>
        <w:jc w:val="both"/>
        <w:rPr>
          <w:rFonts w:ascii="PalatinoLinotype-Roman" w:eastAsiaTheme="minorHAnsi" w:hAnsi="PalatinoLinotype-Roman" w:cs="PalatinoLinotype-Roman"/>
          <w:sz w:val="22"/>
          <w:szCs w:val="22"/>
          <w:lang w:eastAsia="en-US"/>
          <w14:ligatures w14:val="standardContextual"/>
        </w:rPr>
      </w:pPr>
    </w:p>
    <w:p w14:paraId="20752852" w14:textId="7CD0ADF6"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Per conflitto d'interessi si intende il conflitto tra il dovere del dipendente di prestare il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proprio servizio per il perseguimento del pubblico interesse dell'Amministrazione ed 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propri interessi, come specificato nel comma successivo.</w:t>
      </w:r>
    </w:p>
    <w:p w14:paraId="0511F734" w14:textId="77777777" w:rsidR="00AC75F4" w:rsidRDefault="00AC75F4" w:rsidP="00EB63B1">
      <w:pPr>
        <w:widowControl/>
        <w:jc w:val="both"/>
        <w:rPr>
          <w:rFonts w:ascii="PalatinoLinotype-Roman" w:eastAsiaTheme="minorHAnsi" w:hAnsi="PalatinoLinotype-Roman" w:cs="PalatinoLinotype-Roman"/>
          <w:sz w:val="22"/>
          <w:szCs w:val="22"/>
          <w:lang w:eastAsia="en-US"/>
          <w14:ligatures w14:val="standardContextual"/>
        </w:rPr>
      </w:pPr>
    </w:p>
    <w:p w14:paraId="7C0C4A0F" w14:textId="0183362C" w:rsidR="00EB63B1" w:rsidRDefault="00EB63B1" w:rsidP="00EB63B1">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Sussiste conflitto di interessi se nello svolgimento dell’attività lavorativa sono coinvolti gli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interessi finanziari, economici o altri interessi personali o particolari:</w:t>
      </w:r>
    </w:p>
    <w:p w14:paraId="7E822B64" w14:textId="77881D9E" w:rsidR="00EB63B1" w:rsidRPr="00AC75F4" w:rsidRDefault="00EB63B1" w:rsidP="00AC75F4">
      <w:pPr>
        <w:pStyle w:val="Paragrafoelenco"/>
        <w:widowControl/>
        <w:numPr>
          <w:ilvl w:val="0"/>
          <w:numId w:val="4"/>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del dipendente;</w:t>
      </w:r>
    </w:p>
    <w:p w14:paraId="1B36E9BB" w14:textId="3ECFF507" w:rsidR="00EB63B1" w:rsidRDefault="00EB63B1" w:rsidP="00EB63B1">
      <w:pPr>
        <w:pStyle w:val="Paragrafoelenco"/>
        <w:widowControl/>
        <w:numPr>
          <w:ilvl w:val="0"/>
          <w:numId w:val="4"/>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del coniuge del dipendente, di suoi conviventi, parenti, affini entro il secondo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grado (nonni del coniuge, fratelli e sorelle del coniuge);</w:t>
      </w:r>
    </w:p>
    <w:p w14:paraId="2F1B53BF" w14:textId="3ADBB16F" w:rsidR="00EB63B1" w:rsidRDefault="00EB63B1" w:rsidP="00EB63B1">
      <w:pPr>
        <w:pStyle w:val="Paragrafoelenco"/>
        <w:widowControl/>
        <w:numPr>
          <w:ilvl w:val="0"/>
          <w:numId w:val="4"/>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di persone con cui il dipendente abbia continuità nella frequenza di contatti e</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 xml:space="preserve">di rapporti </w:t>
      </w:r>
      <w:r w:rsidRPr="00AC75F4">
        <w:rPr>
          <w:rFonts w:ascii="PalatinoLinotype-Roman" w:eastAsiaTheme="minorHAnsi" w:hAnsi="PalatinoLinotype-Roman" w:cs="PalatinoLinotype-Roman"/>
          <w:sz w:val="18"/>
          <w:szCs w:val="18"/>
          <w:lang w:eastAsia="en-US"/>
          <w14:ligatures w14:val="standardContextual"/>
        </w:rPr>
        <w:t>(per frequentazione abituale si intendono rapporti costanti e frequenti tra soggetti</w:t>
      </w:r>
      <w:r w:rsidR="00AC75F4">
        <w:rPr>
          <w:rFonts w:ascii="PalatinoLinotype-Roman" w:eastAsiaTheme="minorHAnsi" w:hAnsi="PalatinoLinotype-Roman" w:cs="PalatinoLinotype-Roman"/>
          <w:sz w:val="18"/>
          <w:szCs w:val="18"/>
          <w:lang w:eastAsia="en-US"/>
          <w14:ligatures w14:val="standardContextual"/>
        </w:rPr>
        <w:t xml:space="preserve"> </w:t>
      </w:r>
      <w:r w:rsidRPr="00AC75F4">
        <w:rPr>
          <w:rFonts w:ascii="PalatinoLinotype-Roman" w:eastAsiaTheme="minorHAnsi" w:hAnsi="PalatinoLinotype-Roman" w:cs="PalatinoLinotype-Roman"/>
          <w:sz w:val="18"/>
          <w:szCs w:val="18"/>
          <w:lang w:eastAsia="en-US"/>
          <w14:ligatures w14:val="standardContextual"/>
        </w:rPr>
        <w:t>appartenenti ad una cerchia circoscritta di persone che vivono in familiarità ed hanno interessi</w:t>
      </w:r>
      <w:r w:rsidR="00AC75F4">
        <w:rPr>
          <w:rFonts w:ascii="PalatinoLinotype-Roman" w:eastAsiaTheme="minorHAnsi" w:hAnsi="PalatinoLinotype-Roman" w:cs="PalatinoLinotype-Roman"/>
          <w:sz w:val="18"/>
          <w:szCs w:val="18"/>
          <w:lang w:eastAsia="en-US"/>
          <w14:ligatures w14:val="standardContextual"/>
        </w:rPr>
        <w:t xml:space="preserve"> </w:t>
      </w:r>
      <w:r w:rsidRPr="00AC75F4">
        <w:rPr>
          <w:rFonts w:ascii="PalatinoLinotype-Roman" w:eastAsiaTheme="minorHAnsi" w:hAnsi="PalatinoLinotype-Roman" w:cs="PalatinoLinotype-Roman"/>
          <w:sz w:val="18"/>
          <w:szCs w:val="18"/>
          <w:lang w:eastAsia="en-US"/>
          <w14:ligatures w14:val="standardContextual"/>
        </w:rPr>
        <w:t xml:space="preserve">comuni), </w:t>
      </w:r>
      <w:r w:rsidRPr="00AC75F4">
        <w:rPr>
          <w:rFonts w:ascii="PalatinoLinotype-Roman" w:eastAsiaTheme="minorHAnsi" w:hAnsi="PalatinoLinotype-Roman" w:cs="PalatinoLinotype-Roman"/>
          <w:sz w:val="22"/>
          <w:szCs w:val="22"/>
          <w:lang w:eastAsia="en-US"/>
          <w14:ligatures w14:val="standardContextual"/>
        </w:rPr>
        <w:t>o abbia causa pendente (causa civile, o altro giudizio, in corso), grave</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inimicizia (inimicizia reciproca che deriva da relazioni esterne estranee allo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svolgimento dell’attività lavorativa presso l’Ente pubblico), rapporti di credito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o debito;</w:t>
      </w:r>
    </w:p>
    <w:p w14:paraId="18128BEF" w14:textId="3DBB6EC1" w:rsidR="00EB63B1" w:rsidRPr="00AC75F4" w:rsidRDefault="00EB63B1" w:rsidP="00EB63B1">
      <w:pPr>
        <w:pStyle w:val="Paragrafoelenco"/>
        <w:widowControl/>
        <w:numPr>
          <w:ilvl w:val="0"/>
          <w:numId w:val="4"/>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di enti pubblici e privati, di istituzioni, di associazioni (anche non</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riconosciute), di società, di organizzazioni, di comitati, di cui il dipendente, 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le persone indicate alle lettere b) o c), facciano parte.</w:t>
      </w:r>
    </w:p>
    <w:p w14:paraId="1A8EFC09"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lastRenderedPageBreak/>
        <w:t>Articolo 6 – Obbligo di astensione</w:t>
      </w:r>
    </w:p>
    <w:p w14:paraId="15A260D6"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56C8153C" w14:textId="45D3CB5E"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si astiene ogni qualvolta vi sia la possibilità o anche la mera eventualità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favorire interessi esterni, come descritti all’art. 5, in conflitto con l’interesse pubblico e ogni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volta in cui esistano ragioni di convenienza, compresi i casi di conflitto di interessi anche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solo a livello potenziale, al fine di prevenire conseguenze negative, per l’immagine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w:t>
      </w:r>
    </w:p>
    <w:p w14:paraId="15CA922D"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05157212" w14:textId="220AAC4D"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Quando il dipendente ritiene di trovarsi in una situazione conflittuale per la quale sussiste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l’obbligo di astensione, ne dà immediata comunicazione per iscritto al Dirigente/E.Q. della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struttura di appartenenza, specificando le motivazioni della ritenuta astensione, con le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seguenti tempistiche:</w:t>
      </w:r>
    </w:p>
    <w:p w14:paraId="17D5D1A1" w14:textId="7B999FAA" w:rsidR="00EB63B1" w:rsidRDefault="00EB63B1" w:rsidP="00AC75F4">
      <w:pPr>
        <w:pStyle w:val="Paragrafoelenco"/>
        <w:widowControl/>
        <w:numPr>
          <w:ilvl w:val="0"/>
          <w:numId w:val="5"/>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per la comunicazione degli interessi finanziari: entro e non oltre 15 giorni dopo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l’assegnazione dell’incarico;</w:t>
      </w:r>
    </w:p>
    <w:p w14:paraId="04770A9B" w14:textId="0E85BDE5" w:rsidR="00EB63B1" w:rsidRDefault="00EB63B1" w:rsidP="00AC75F4">
      <w:pPr>
        <w:pStyle w:val="Paragrafoelenco"/>
        <w:widowControl/>
        <w:numPr>
          <w:ilvl w:val="0"/>
          <w:numId w:val="5"/>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per la comunicazione del conflitto di interesse: deve essere comunicato con nota</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protocollata, indicando le ragioni specifiche relative all’obbligo di astensione, utilizzando la</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modulistica in uso presso l’Ente, entro 2 giorni dalla data di avvio del procedimento, sia esso</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ad istanza di parte o d’ufficio).</w:t>
      </w:r>
    </w:p>
    <w:p w14:paraId="1FB8C420" w14:textId="77777777" w:rsidR="00AC75F4" w:rsidRPr="00AC75F4" w:rsidRDefault="00AC75F4" w:rsidP="00AC75F4">
      <w:pPr>
        <w:pStyle w:val="Paragrafoelenco"/>
        <w:widowControl/>
        <w:jc w:val="both"/>
        <w:rPr>
          <w:rFonts w:ascii="PalatinoLinotype-Roman" w:eastAsiaTheme="minorHAnsi" w:hAnsi="PalatinoLinotype-Roman" w:cs="PalatinoLinotype-Roman"/>
          <w:sz w:val="22"/>
          <w:szCs w:val="22"/>
          <w:lang w:eastAsia="en-US"/>
          <w14:ligatures w14:val="standardContextual"/>
        </w:rPr>
      </w:pPr>
    </w:p>
    <w:p w14:paraId="1AAD024F" w14:textId="299F2971"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responsabile valuta senza ritardo la situazione segnalata dal dipendente e impartisce le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disposizioni per prevenire o porre rimedio al conflitto, sollevando il dipendente dall’incarico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o dai compiti assegnati ed eventualmente assegnando, entro i termini procedimentali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previsti, la trattazione della pratica ad altro dipendente.</w:t>
      </w:r>
    </w:p>
    <w:p w14:paraId="266E5B31"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0430B5CB" w14:textId="7AA57E61"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Nel caso in cui il responsabile non ravvisi la sussistenza di una situazione di conflitto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interessi, dispone la prosecuzione dell’incarico o dei compiti assegnati, motivando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espressamente le ragioni in base alle quali lo svolgimento dell’attività da parte del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dipendente non configura una situazione di tale natura neppure a livello potenziale.</w:t>
      </w:r>
    </w:p>
    <w:p w14:paraId="06CC2F67"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5BBACDCA" w14:textId="77777777"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Sull’obbligo di astensione del dirigente, decide il Segretario Generale.</w:t>
      </w:r>
    </w:p>
    <w:p w14:paraId="4A712197"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28759C32"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7 – Prevenzione della corruzione</w:t>
      </w:r>
    </w:p>
    <w:p w14:paraId="555636CE"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162C67E4" w14:textId="0942C6EC"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rispetta le misure necessarie alla prevenzione degli illeciti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nell’amministrazione. In particolare, il dipendente rispetta le prescrizioni contenute nel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vigente P.I.A.O., presta la sua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collaborazione al Responsabile della prevenzione della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corruzione e, fermo restando l’obbligo di denuncia all’autorità giudiziaria, segnala al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proprio superiore gerarchico eventuali situazioni d</w:t>
      </w:r>
      <w:r w:rsidR="00AC75F4">
        <w:rPr>
          <w:rFonts w:ascii="PalatinoLinotype-Roman" w:eastAsiaTheme="minorHAnsi" w:hAnsi="PalatinoLinotype-Roman" w:cs="PalatinoLinotype-Roman"/>
          <w:sz w:val="22"/>
          <w:szCs w:val="22"/>
          <w:lang w:eastAsia="en-US"/>
          <w14:ligatures w14:val="standardContextual"/>
        </w:rPr>
        <w:t xml:space="preserve">i </w:t>
      </w:r>
      <w:r>
        <w:rPr>
          <w:rFonts w:ascii="PalatinoLinotype-Roman" w:eastAsiaTheme="minorHAnsi" w:hAnsi="PalatinoLinotype-Roman" w:cs="PalatinoLinotype-Roman"/>
          <w:sz w:val="22"/>
          <w:szCs w:val="22"/>
          <w:lang w:eastAsia="en-US"/>
          <w14:ligatures w14:val="standardContextual"/>
        </w:rPr>
        <w:t>illecito nell’amministrazione di cui sia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venuto a conoscenza.</w:t>
      </w:r>
    </w:p>
    <w:p w14:paraId="6947F0D0"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409A5E36"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8 – Trasparenza e tracciabilità</w:t>
      </w:r>
    </w:p>
    <w:p w14:paraId="5CD0708E"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027E051E" w14:textId="1161F141"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assicura l’adempimento degli obblighi di trasparenza previsti in capo alle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pubbliche amministrazioni secondo le disposizioni normative vigenti, prestando la massima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collaborazione nell’elaborazione, reperimento e trasmissione dei dati e documenti sottoposti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all’obbligo di pubblicazione sulla sezione “amministrazione trasparente” del sito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istituzionale.</w:t>
      </w:r>
    </w:p>
    <w:p w14:paraId="38493714" w14:textId="7155520C"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La tracciabilità dei processi decisionali adottati dai dipendenti deve essere, in tutti i casi,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garantita attraverso un adeguato supporto documentale, che consenta, in ogni momento, la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replicabilità.</w:t>
      </w:r>
    </w:p>
    <w:p w14:paraId="5E9DBC45" w14:textId="77777777" w:rsidR="00AC75F4" w:rsidRDefault="00AC75F4" w:rsidP="00EB63B1">
      <w:pPr>
        <w:widowControl/>
        <w:rPr>
          <w:rFonts w:ascii="PalatinoLinotype-Roman" w:eastAsiaTheme="minorHAnsi" w:hAnsi="PalatinoLinotype-Roman" w:cs="PalatinoLinotype-Roman"/>
          <w:sz w:val="22"/>
          <w:szCs w:val="22"/>
          <w:lang w:eastAsia="en-US"/>
          <w14:ligatures w14:val="standardContextual"/>
        </w:rPr>
      </w:pPr>
    </w:p>
    <w:p w14:paraId="6BD2C0B2"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9 – Comportamento nei rapporti privati</w:t>
      </w:r>
    </w:p>
    <w:p w14:paraId="4D36DB10" w14:textId="0BC261AF"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Nei rapporti privati, comprese le relazioni extra lavorative con pubblici ufficiali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nell’esercizio delle loro funzioni, il dipendente non sfrutta né menziona la posizione che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ricopre nell’amministrazione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per ottenere utilità che non spettino e non assume nessun altro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comportamento che possa nuocere all’immagine dell’amministrazione.</w:t>
      </w:r>
    </w:p>
    <w:p w14:paraId="5DF7AB3C"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36691E3F" w14:textId="682B006F"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dà seguito a richieste finalizzate a facilitare le modalità di disbrigo delle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pratiche o ad ottenere indebiti contatti diretti con altri uffici dell’Ente.</w:t>
      </w:r>
    </w:p>
    <w:p w14:paraId="5FFF5CDB"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781433EB" w14:textId="4DD0C698"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personale non riceve soggetti privati nella propria abitazione o in luoghi diversi da quelli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istituzionalmente previsti per discutere di pratiche di lavoro.</w:t>
      </w:r>
    </w:p>
    <w:p w14:paraId="386A0851"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61E6A410" w14:textId="33431A7D"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partecipa a titolo personale a convegni, seminari o tavole rotonde aventi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ad oggetto le attività dell’Ente senza avere prima informato il Dirigente.</w:t>
      </w:r>
    </w:p>
    <w:p w14:paraId="54F69AC6"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6E8161E3" w14:textId="6835D15C"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può svolgere nei tre anni successivi alla cessazione del rapporto di lavoro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attività lavorative o professionali presso i soggetti privati destinatari dell’attività svolta in</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funzione del loro incarico (</w:t>
      </w:r>
      <w:proofErr w:type="spellStart"/>
      <w:r>
        <w:rPr>
          <w:rFonts w:ascii="PalatinoLinotype-Roman" w:eastAsiaTheme="minorHAnsi" w:hAnsi="PalatinoLinotype-Roman" w:cs="PalatinoLinotype-Roman"/>
          <w:sz w:val="22"/>
          <w:szCs w:val="22"/>
          <w:lang w:eastAsia="en-US"/>
          <w14:ligatures w14:val="standardContextual"/>
        </w:rPr>
        <w:t>pantouflage</w:t>
      </w:r>
      <w:proofErr w:type="spellEnd"/>
      <w:r>
        <w:rPr>
          <w:rFonts w:ascii="PalatinoLinotype-Roman" w:eastAsiaTheme="minorHAnsi" w:hAnsi="PalatinoLinotype-Roman" w:cs="PalatinoLinotype-Roman"/>
          <w:sz w:val="22"/>
          <w:szCs w:val="22"/>
          <w:lang w:eastAsia="en-US"/>
          <w14:ligatures w14:val="standardContextual"/>
        </w:rPr>
        <w:t>).</w:t>
      </w:r>
    </w:p>
    <w:p w14:paraId="47077E71"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74954004"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10 – Rapporti con i mezzi di informazione e utilizzo dei social network</w:t>
      </w:r>
    </w:p>
    <w:p w14:paraId="30170CD0"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70D70FD3" w14:textId="1FE5C7E4"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 rapporti con i mezzi di informazione, sugli argomenti istituzionali, sono tenuti dai soggetti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istituzionalmente individuati, nonché dai dipendenti espressamente incaricati. Fatti salvi 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principi costituzionali posti a tutela della libertà di espressione, i dipendenti, prima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rilasciare interviste, dichiarazioni o giudizi di valore su attività dell’Amministrazione rivolti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alla generalità dei cittadini, ne danno preventiva informazione al responsabile della struttura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 appartenenza.</w:t>
      </w:r>
    </w:p>
    <w:p w14:paraId="1C8377AD"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54B04748" w14:textId="1417C6D4"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Nel rapporto con terzi, il personale si astiene da dichiarazioni pubbliche che vadano 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detrimento dell’immagine dell’Amministrazione e adotta tutte le possibili cautele per</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assicurare che ogni commento sia inteso come frutto delle proprie opinioni personali e non</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 quelle dell’Ente.</w:t>
      </w:r>
    </w:p>
    <w:p w14:paraId="25F4D326"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0FECBCFF" w14:textId="75DBF028"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nell’utilizzo dei social network, non può pubblicare immagini che lo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ritraggano con simboli o fregi riconducibili all’Amministrazione, o in divisa per coloro che la</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indossino, se non previa autorizzazione.</w:t>
      </w:r>
    </w:p>
    <w:p w14:paraId="3AB44A4A"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728B53CB" w14:textId="0A0A91F9"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si astiene dal diffondere con qualunque mezzo, compreso il web o i social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network, i blog o i forum, commenti o informazioni, compresi foto, video, audio, che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possano ledere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l’immagine dell’Amministrazione e dei suoi rappresentanti, l’onorabilità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colleghi, nonché la riservatezza o la dignità delle persone. Si impegna inoltre a mantenere un</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comportamento corretto,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ineccepibile ed esemplare anche nella partecipazione a discussioni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su chat, blog, social forum online, ispirato all’equilibrio, alla ponderatezza, al rispetto delle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altrui opinioni.</w:t>
      </w:r>
    </w:p>
    <w:p w14:paraId="454C47D6"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22694E3D" w14:textId="55FEB6D0"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Al fine del rispetto delle prescrizioni del presente articolo si intendono come equivalenti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anche tutte le azioni di condivisione o interazione con terzi.</w:t>
      </w:r>
    </w:p>
    <w:p w14:paraId="388DEEFA"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3CEB361A"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11 – Comportamento in servizio</w:t>
      </w:r>
    </w:p>
    <w:p w14:paraId="341D2DF8"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7874DEB1" w14:textId="05A3FDB4"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Fermo restando il rispetto dei termini del procedimento amministrativo, il dipendente, salvo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giustificato motivo, non ritarda né adotta comportamenti tali da far ricadere su altri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dipendenti il compimento di attività o l’adozione di decisioni di propria spettanza.</w:t>
      </w:r>
    </w:p>
    <w:p w14:paraId="1EB2D6EF"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55867155" w14:textId="7F8F6969"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utilizza i permessi di astensione dal lavoro, comunque denominati, nel rispetto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delle condizioni previste dalla legge, dai regolamenti e dai contratti collettivi.</w:t>
      </w:r>
    </w:p>
    <w:p w14:paraId="1900D487"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00DD0564" w14:textId="68E3F1BF"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utilizza il materiale e le attrezzature di cui dispone per ragioni di ufficio e 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servizi telematici e telefonici dell’ufficio nel rispetto dei vincoli posti dall’amministrazione. Il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dipendente utilizza i mezzi di trasporto dell’amministrazione a sua disposizione soltanto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per lo svolgimento dei compiti d’ufficio, astenendosi dal trasportare terzi, se non per motivi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d’ufficio o di servizio.</w:t>
      </w:r>
    </w:p>
    <w:p w14:paraId="15C7DC50"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245FFCAB" w14:textId="68A82AC5"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In particolare, nell’utilizzo delle tecnologie informatiche messe a disposizione dal datore di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lavoro per lo svolgimento dell’attività di servizio, il dipendente è tenuto a:</w:t>
      </w:r>
    </w:p>
    <w:p w14:paraId="1B0108C7" w14:textId="0B302800" w:rsidR="00EB63B1" w:rsidRDefault="00EB63B1" w:rsidP="00AC75F4">
      <w:pPr>
        <w:pStyle w:val="Paragrafoelenco"/>
        <w:widowControl/>
        <w:numPr>
          <w:ilvl w:val="0"/>
          <w:numId w:val="6"/>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utilizzare le risorse hardware e software secondo diligenza in modo appropriato e</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responsabile;</w:t>
      </w:r>
    </w:p>
    <w:p w14:paraId="3CD1D989" w14:textId="2A6A304D" w:rsidR="00EB63B1" w:rsidRDefault="00EB63B1" w:rsidP="00AC75F4">
      <w:pPr>
        <w:pStyle w:val="Paragrafoelenco"/>
        <w:widowControl/>
        <w:numPr>
          <w:ilvl w:val="0"/>
          <w:numId w:val="6"/>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non memorizzare file estranei all’attività di lavoro su hard disk o altri supporti di</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archiviazione forniti dall’Amministrazione;</w:t>
      </w:r>
    </w:p>
    <w:p w14:paraId="22960C9E" w14:textId="4E99798F" w:rsidR="00EB63B1" w:rsidRDefault="00EB63B1" w:rsidP="00AC75F4">
      <w:pPr>
        <w:pStyle w:val="Paragrafoelenco"/>
        <w:widowControl/>
        <w:numPr>
          <w:ilvl w:val="0"/>
          <w:numId w:val="6"/>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non utilizzare le risorse per scopi estranei all’attività di servizio e non modificare le</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configurazioni preimpostate, né installare dispositivi che compromettano l’integrità,</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l’operatività e la sicurezza delle risorse hardware e software;</w:t>
      </w:r>
    </w:p>
    <w:p w14:paraId="2D8319F3" w14:textId="0276C840" w:rsidR="00EB63B1" w:rsidRDefault="00EB63B1" w:rsidP="00AC75F4">
      <w:pPr>
        <w:pStyle w:val="Paragrafoelenco"/>
        <w:widowControl/>
        <w:numPr>
          <w:ilvl w:val="0"/>
          <w:numId w:val="6"/>
        </w:numPr>
        <w:jc w:val="both"/>
        <w:rPr>
          <w:rFonts w:ascii="PalatinoLinotype-Roman" w:eastAsiaTheme="minorHAnsi" w:hAnsi="PalatinoLinotype-Roman" w:cs="PalatinoLinotype-Roman"/>
          <w:sz w:val="22"/>
          <w:szCs w:val="22"/>
          <w:lang w:eastAsia="en-US"/>
          <w14:ligatures w14:val="standardContextual"/>
        </w:rPr>
      </w:pPr>
      <w:r w:rsidRPr="00AC75F4">
        <w:rPr>
          <w:rFonts w:ascii="PalatinoLinotype-Roman" w:eastAsiaTheme="minorHAnsi" w:hAnsi="PalatinoLinotype-Roman" w:cs="PalatinoLinotype-Roman"/>
          <w:sz w:val="22"/>
          <w:szCs w:val="22"/>
          <w:lang w:eastAsia="en-US"/>
          <w14:ligatures w14:val="standardContextual"/>
        </w:rPr>
        <w:t>adotta ogni utile misura di sicurezza atta ad evitare che le credenziali di autenticazione,</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connesse all’utilizzo delle risorse del sistema informativo dell’Amministrazione associate al</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singolo dipendente, vengano a conoscenza di altri soggetti, anche lasciando incustodita</w:t>
      </w:r>
      <w:r w:rsidR="00AC75F4">
        <w:rPr>
          <w:rFonts w:ascii="PalatinoLinotype-Roman" w:eastAsiaTheme="minorHAnsi" w:hAnsi="PalatinoLinotype-Roman" w:cs="PalatinoLinotype-Roman"/>
          <w:sz w:val="22"/>
          <w:szCs w:val="22"/>
          <w:lang w:eastAsia="en-US"/>
          <w14:ligatures w14:val="standardContextual"/>
        </w:rPr>
        <w:t xml:space="preserve"> </w:t>
      </w:r>
      <w:r w:rsidRPr="00AC75F4">
        <w:rPr>
          <w:rFonts w:ascii="PalatinoLinotype-Roman" w:eastAsiaTheme="minorHAnsi" w:hAnsi="PalatinoLinotype-Roman" w:cs="PalatinoLinotype-Roman"/>
          <w:sz w:val="22"/>
          <w:szCs w:val="22"/>
          <w:lang w:eastAsia="en-US"/>
          <w14:ligatures w14:val="standardContextual"/>
        </w:rPr>
        <w:t>l’attrezzatura informatica.</w:t>
      </w:r>
    </w:p>
    <w:p w14:paraId="1C678162" w14:textId="77777777" w:rsidR="00AC75F4" w:rsidRPr="00AC75F4" w:rsidRDefault="00AC75F4" w:rsidP="00AC75F4">
      <w:pPr>
        <w:pStyle w:val="Paragrafoelenco"/>
        <w:widowControl/>
        <w:jc w:val="both"/>
        <w:rPr>
          <w:rFonts w:ascii="PalatinoLinotype-Roman" w:eastAsiaTheme="minorHAnsi" w:hAnsi="PalatinoLinotype-Roman" w:cs="PalatinoLinotype-Roman"/>
          <w:sz w:val="22"/>
          <w:szCs w:val="22"/>
          <w:lang w:eastAsia="en-US"/>
          <w14:ligatures w14:val="standardContextual"/>
        </w:rPr>
      </w:pPr>
    </w:p>
    <w:p w14:paraId="75818773" w14:textId="7BCE6A14"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è responsabile del contenuto dei messaggi inviati. I dipendenti si uniformano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alle modalità di firma dei messaggi di posta elettronica di servizio individuate dall’Ente.</w:t>
      </w:r>
    </w:p>
    <w:p w14:paraId="00CDB6E4"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0F115424" w14:textId="3BB5A558"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Ciascun messaggio in uscita deve consentire l’identificazione del dipendente, che deve</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indicare un recapito istituzionale.</w:t>
      </w:r>
    </w:p>
    <w:p w14:paraId="6318C3E9" w14:textId="0456B628" w:rsidR="00EB63B1"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È</w:t>
      </w:r>
      <w:r w:rsidR="00EB63B1">
        <w:rPr>
          <w:rFonts w:ascii="PalatinoLinotype-Roman" w:eastAsiaTheme="minorHAnsi" w:hAnsi="PalatinoLinotype-Roman" w:cs="PalatinoLinotype-Roman"/>
          <w:sz w:val="22"/>
          <w:szCs w:val="22"/>
          <w:lang w:eastAsia="en-US"/>
          <w14:ligatures w14:val="standardContextual"/>
        </w:rPr>
        <w:t xml:space="preserve"> vietato l’invio di messaggi di posta elettronica, all’interno o all’esterno dell’Ente che siano</w:t>
      </w:r>
      <w:r>
        <w:rPr>
          <w:rFonts w:ascii="PalatinoLinotype-Roman" w:eastAsiaTheme="minorHAnsi" w:hAnsi="PalatinoLinotype-Roman" w:cs="PalatinoLinotype-Roman"/>
          <w:sz w:val="22"/>
          <w:szCs w:val="22"/>
          <w:lang w:eastAsia="en-US"/>
          <w14:ligatures w14:val="standardContextual"/>
        </w:rPr>
        <w:t xml:space="preserve"> </w:t>
      </w:r>
      <w:r w:rsidR="00EB63B1">
        <w:rPr>
          <w:rFonts w:ascii="PalatinoLinotype-Roman" w:eastAsiaTheme="minorHAnsi" w:hAnsi="PalatinoLinotype-Roman" w:cs="PalatinoLinotype-Roman"/>
          <w:sz w:val="22"/>
          <w:szCs w:val="22"/>
          <w:lang w:eastAsia="en-US"/>
          <w14:ligatures w14:val="standardContextual"/>
        </w:rPr>
        <w:t>oltraggiosi, discriminatori o che possano essere in qualunque modo fonte di responsabilità</w:t>
      </w:r>
      <w:r>
        <w:rPr>
          <w:rFonts w:ascii="PalatinoLinotype-Roman" w:eastAsiaTheme="minorHAnsi" w:hAnsi="PalatinoLinotype-Roman" w:cs="PalatinoLinotype-Roman"/>
          <w:sz w:val="22"/>
          <w:szCs w:val="22"/>
          <w:lang w:eastAsia="en-US"/>
          <w14:ligatures w14:val="standardContextual"/>
        </w:rPr>
        <w:t xml:space="preserve"> </w:t>
      </w:r>
      <w:r w:rsidR="00EB63B1">
        <w:rPr>
          <w:rFonts w:ascii="PalatinoLinotype-Roman" w:eastAsiaTheme="minorHAnsi" w:hAnsi="PalatinoLinotype-Roman" w:cs="PalatinoLinotype-Roman"/>
          <w:sz w:val="22"/>
          <w:szCs w:val="22"/>
          <w:lang w:eastAsia="en-US"/>
          <w14:ligatures w14:val="standardContextual"/>
        </w:rPr>
        <w:t>dell’Amministrazione.</w:t>
      </w:r>
    </w:p>
    <w:p w14:paraId="6AFF0DB1"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5710E774" w14:textId="51392AF8"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 xml:space="preserve">I dipendenti del Comune di </w:t>
      </w:r>
      <w:r w:rsidR="00AC75F4">
        <w:rPr>
          <w:rFonts w:ascii="PalatinoLinotype-Roman" w:eastAsiaTheme="minorHAnsi" w:hAnsi="PalatinoLinotype-Roman" w:cs="PalatinoLinotype-Roman"/>
          <w:sz w:val="22"/>
          <w:szCs w:val="22"/>
          <w:lang w:eastAsia="en-US"/>
          <w14:ligatures w14:val="standardContextual"/>
        </w:rPr>
        <w:t>Villa Verde</w:t>
      </w:r>
      <w:r>
        <w:rPr>
          <w:rFonts w:ascii="PalatinoLinotype-Roman" w:eastAsiaTheme="minorHAnsi" w:hAnsi="PalatinoLinotype-Roman" w:cs="PalatinoLinotype-Roman"/>
          <w:sz w:val="22"/>
          <w:szCs w:val="22"/>
          <w:lang w:eastAsia="en-US"/>
          <w14:ligatures w14:val="standardContextual"/>
        </w:rPr>
        <w:t xml:space="preserve"> sono tenuti al rispetto dei principi di cui al</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presente Codice anche nei rapporti con le società partecipate, gli enti pubblici vigilati e gli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enti di diritto privato del Comune di </w:t>
      </w:r>
      <w:r w:rsidR="00AC75F4">
        <w:rPr>
          <w:rFonts w:ascii="PalatinoLinotype-Roman" w:eastAsiaTheme="minorHAnsi" w:hAnsi="PalatinoLinotype-Roman" w:cs="PalatinoLinotype-Roman"/>
          <w:sz w:val="22"/>
          <w:szCs w:val="22"/>
          <w:lang w:eastAsia="en-US"/>
          <w14:ligatures w14:val="standardContextual"/>
        </w:rPr>
        <w:t>Villa Verde</w:t>
      </w:r>
      <w:r>
        <w:rPr>
          <w:rFonts w:ascii="PalatinoLinotype-Roman" w:eastAsiaTheme="minorHAnsi" w:hAnsi="PalatinoLinotype-Roman" w:cs="PalatinoLinotype-Roman"/>
          <w:sz w:val="22"/>
          <w:szCs w:val="22"/>
          <w:lang w:eastAsia="en-US"/>
          <w14:ligatures w14:val="standardContextual"/>
        </w:rPr>
        <w:t xml:space="preserve"> oltre che con i soggetti con i quali si</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instaurano rapporti negoziali e contrattuali</w:t>
      </w:r>
      <w:r w:rsidR="00AC75F4">
        <w:rPr>
          <w:rFonts w:ascii="PalatinoLinotype-Roman" w:eastAsiaTheme="minorHAnsi" w:hAnsi="PalatinoLinotype-Roman" w:cs="PalatinoLinotype-Roman"/>
          <w:sz w:val="22"/>
          <w:szCs w:val="22"/>
          <w:lang w:eastAsia="en-US"/>
          <w14:ligatures w14:val="standardContextual"/>
        </w:rPr>
        <w:t>.</w:t>
      </w:r>
    </w:p>
    <w:p w14:paraId="3C2CCB68" w14:textId="77777777" w:rsidR="00AC75F4" w:rsidRDefault="00AC75F4" w:rsidP="00AC75F4">
      <w:pPr>
        <w:widowControl/>
        <w:jc w:val="both"/>
        <w:rPr>
          <w:rFonts w:ascii="PalatinoLinotype-Roman" w:eastAsiaTheme="minorHAnsi" w:hAnsi="PalatinoLinotype-Roman" w:cs="PalatinoLinotype-Roman"/>
          <w:sz w:val="22"/>
          <w:szCs w:val="22"/>
          <w:lang w:eastAsia="en-US"/>
          <w14:ligatures w14:val="standardContextual"/>
        </w:rPr>
      </w:pPr>
    </w:p>
    <w:p w14:paraId="3E8C3B5C"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12 – Rapporti con il pubblico</w:t>
      </w:r>
    </w:p>
    <w:p w14:paraId="7131701F" w14:textId="77777777" w:rsidR="00AC75F4" w:rsidRDefault="00AC75F4" w:rsidP="00EB63B1">
      <w:pPr>
        <w:widowControl/>
        <w:rPr>
          <w:rFonts w:ascii="PalatinoLinotype-Bold" w:eastAsiaTheme="minorHAnsi" w:hAnsi="PalatinoLinotype-Bold" w:cs="PalatinoLinotype-Bold"/>
          <w:b/>
          <w:bCs/>
          <w:sz w:val="22"/>
          <w:szCs w:val="22"/>
          <w:lang w:eastAsia="en-US"/>
          <w14:ligatures w14:val="standardContextual"/>
        </w:rPr>
      </w:pPr>
    </w:p>
    <w:p w14:paraId="149BE9B9" w14:textId="33E77FD9"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in rapporto con il pubblico si fa riconoscere attraverso l’esposizione in modo</w:t>
      </w:r>
      <w:r w:rsidR="00AC75F4">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visibile del badge od altro supporto identificativo messo a disposizione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dall’amministrazione, salvo diverse disposizioni di servizio, anche in considerazione della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sicurezza dei dipendenti, opera con spirito di servizio, correttezza, cortesia e disponibilità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nel rispondere alla corrispondenza, a chiamate telefoniche e ai messaggi di posta elettronica,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opera nella maniera più completa e accurata possibile. Qualora non sia competente per</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posizione rivestita o per materia, indirizza l’interessato al </w:t>
      </w:r>
      <w:r>
        <w:rPr>
          <w:rFonts w:ascii="PalatinoLinotype-Roman" w:eastAsiaTheme="minorHAnsi" w:hAnsi="PalatinoLinotype-Roman" w:cs="PalatinoLinotype-Roman"/>
          <w:sz w:val="22"/>
          <w:szCs w:val="22"/>
          <w:lang w:eastAsia="en-US"/>
          <w14:ligatures w14:val="standardContextual"/>
        </w:rPr>
        <w:lastRenderedPageBreak/>
        <w:t>funzionario o ufficio competente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 fatte salve le norme sul segreto d’ufficio, fornisce le spiegazioni che gli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siano richieste in ordine al comportamento proprio e di altri dipendenti dell’ufficio dei quali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ha la responsabilità o il coordinamento. Nelle operazioni da svolgere e nella trattazione delle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pratiche il dipendente rispetta, salvo diverse esigenze di servizio o diverso ordine di priorità</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stabilito dall’amministrazione, l’ordine cronologico e non rifiuta prestazioni a cui sia tenuto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 motivazioni generiche. Il dipendente rispetta gli appuntamenti con i cittadini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risponde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senza ritardo ai loro reclami.</w:t>
      </w:r>
    </w:p>
    <w:p w14:paraId="1FA8A5D7" w14:textId="77777777" w:rsidR="001F064C" w:rsidRDefault="001F064C" w:rsidP="00AC75F4">
      <w:pPr>
        <w:widowControl/>
        <w:jc w:val="both"/>
        <w:rPr>
          <w:rFonts w:ascii="PalatinoLinotype-Roman" w:eastAsiaTheme="minorHAnsi" w:hAnsi="PalatinoLinotype-Roman" w:cs="PalatinoLinotype-Roman"/>
          <w:sz w:val="22"/>
          <w:szCs w:val="22"/>
          <w:lang w:eastAsia="en-US"/>
          <w14:ligatures w14:val="standardContextual"/>
        </w:rPr>
      </w:pPr>
    </w:p>
    <w:p w14:paraId="2A69CE71" w14:textId="050E9A50"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Salvo il diritto di esprimere valutazioni e diffondere informazioni a tutela dei diritti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sindacali, il dipendente si astiene da dichiarazioni pubbliche offensive nei confronti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w:t>
      </w:r>
    </w:p>
    <w:p w14:paraId="42B8C16F" w14:textId="77777777" w:rsidR="001F064C" w:rsidRDefault="001F064C" w:rsidP="00AC75F4">
      <w:pPr>
        <w:widowControl/>
        <w:jc w:val="both"/>
        <w:rPr>
          <w:rFonts w:ascii="PalatinoLinotype-Roman" w:eastAsiaTheme="minorHAnsi" w:hAnsi="PalatinoLinotype-Roman" w:cs="PalatinoLinotype-Roman"/>
          <w:sz w:val="22"/>
          <w:szCs w:val="22"/>
          <w:lang w:eastAsia="en-US"/>
          <w14:ligatures w14:val="standardContextual"/>
        </w:rPr>
      </w:pPr>
    </w:p>
    <w:p w14:paraId="6A71FEC3" w14:textId="1FE8B1D6"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assume impegni né anticipa l’esito di decisioni o azioni proprie o altrui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inerenti all’ufficio, al di fuori dei casi consentiti. Fornisce informazioni e notizie relative ad</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atti o operazioni amministrative, in corso o conclusi, nelle ipotesi previste dalle disposizioni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 legge e regolamento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materia di accesso, informando sempre gli interessati della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possibilità di avvalersi anche dell’Ufficio per le relazioni con il pubblico. Rilascia copie ed</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estratti di atti o documenti secondo la sua competenza, con le modalità stabilite dalle norme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materia di accesso e dai regolamenti dell’amministrazione.</w:t>
      </w:r>
    </w:p>
    <w:p w14:paraId="0AB9B4B2" w14:textId="77777777" w:rsidR="001F064C" w:rsidRDefault="001F064C" w:rsidP="00AC75F4">
      <w:pPr>
        <w:widowControl/>
        <w:jc w:val="both"/>
        <w:rPr>
          <w:rFonts w:ascii="PalatinoLinotype-Roman" w:eastAsiaTheme="minorHAnsi" w:hAnsi="PalatinoLinotype-Roman" w:cs="PalatinoLinotype-Roman"/>
          <w:sz w:val="22"/>
          <w:szCs w:val="22"/>
          <w:lang w:eastAsia="en-US"/>
          <w14:ligatures w14:val="standardContextual"/>
        </w:rPr>
      </w:pPr>
    </w:p>
    <w:p w14:paraId="227A61EE" w14:textId="41DC46BB" w:rsidR="00EB63B1" w:rsidRDefault="00EB63B1" w:rsidP="00AC75F4">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osserva il segreto d’ufficio e la normativa in materia di tutela e trattamento dei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dati personali e, qualora sia richiesto oralmente di fornire informazioni, atti, documenti, non</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accessibili tutelati dal segreto d’ufficio o dalle disposizioni in materia di dati personali,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informa il richiedente sui motivi che ostano all’accoglimento della richiesta. Qualora non sia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competente a provvedere in merito alla richiesta cura, sulla base delle disposizioni interne,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che la stessa venga inoltrata all’ufficio competente dell’amministrazione.</w:t>
      </w:r>
    </w:p>
    <w:p w14:paraId="181229E0" w14:textId="77777777" w:rsidR="001F064C" w:rsidRDefault="001F064C" w:rsidP="00AC75F4">
      <w:pPr>
        <w:widowControl/>
        <w:jc w:val="both"/>
        <w:rPr>
          <w:rFonts w:ascii="PalatinoLinotype-Roman" w:eastAsiaTheme="minorHAnsi" w:hAnsi="PalatinoLinotype-Roman" w:cs="PalatinoLinotype-Roman"/>
          <w:sz w:val="22"/>
          <w:szCs w:val="22"/>
          <w:lang w:eastAsia="en-US"/>
          <w14:ligatures w14:val="standardContextual"/>
        </w:rPr>
      </w:pPr>
    </w:p>
    <w:p w14:paraId="4C0B99AA"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13 – Tutela della segnalazione di condotte illecite (“whistleblowing”)</w:t>
      </w:r>
    </w:p>
    <w:p w14:paraId="3E92C241" w14:textId="77777777" w:rsidR="001F064C" w:rsidRDefault="001F064C" w:rsidP="00EB63B1">
      <w:pPr>
        <w:widowControl/>
        <w:rPr>
          <w:rFonts w:ascii="PalatinoLinotype-Bold" w:eastAsiaTheme="minorHAnsi" w:hAnsi="PalatinoLinotype-Bold" w:cs="PalatinoLinotype-Bold"/>
          <w:b/>
          <w:bCs/>
          <w:sz w:val="22"/>
          <w:szCs w:val="22"/>
          <w:lang w:eastAsia="en-US"/>
          <w14:ligatures w14:val="standardContextual"/>
        </w:rPr>
      </w:pPr>
    </w:p>
    <w:p w14:paraId="1927670F" w14:textId="513E6EC3"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 xml:space="preserve">Qualora il dipendente intenda avvalersi della tutela prevista dall’art. 54 bis del </w:t>
      </w:r>
      <w:proofErr w:type="spellStart"/>
      <w:r>
        <w:rPr>
          <w:rFonts w:ascii="PalatinoLinotype-Roman" w:eastAsiaTheme="minorHAnsi" w:hAnsi="PalatinoLinotype-Roman" w:cs="PalatinoLinotype-Roman"/>
          <w:sz w:val="22"/>
          <w:szCs w:val="22"/>
          <w:lang w:eastAsia="en-US"/>
          <w14:ligatures w14:val="standardContextual"/>
        </w:rPr>
        <w:t>D.Lgs.</w:t>
      </w:r>
      <w:proofErr w:type="spellEnd"/>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165/2001 a garanzia della riservatezza dell’identità del segnalante nel caso di condotte illecite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o di cattiva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amministrazione di cui sia venuto a conoscenza in ragione del rapporto di lavoro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(cd. whistleblowing), la segnalazione va inoltrata al RPCT dell’Ente o in alternativa, e in ogni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caso in cui la segnalazione riguardi il Responsabile per la prevenzione della corruzione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trasparenza, la stessa può essere inviata all’ANAC mediante l’apposita piattaforma.</w:t>
      </w:r>
    </w:p>
    <w:p w14:paraId="2DA3125F"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5208D19B" w14:textId="135B7C8B"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Fuori dai casi di diffamazione e calunnia, il dipendente che segnali condotte illecite ai sensi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 comma 1, ha il diritto di essere tutelato secondo le disposizioni previste dall’art. 54-bis</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 Decreto Legislativo 30 marzo 2001, n. 165 e di non essere sanzionato, licenziato,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trasferito, demansionato, sottoposto a misure discriminatorie dirette o indirette, o comunque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tali da incidere negativamente sulle condizioni di lavoro per motivi collegati direttamente 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indirettamente alla segnalazione.</w:t>
      </w:r>
    </w:p>
    <w:p w14:paraId="31E467F7"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6C9501BC" w14:textId="6FC728AE"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Le segnalazioni, connotate esclusivamente da rilievo pubblico per la tutela degli interessi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generali dell’Ente, saranno valutate dal Responsabile della Prevenzione della Corruzione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 Trasparenza che le riceve e le verifica al fine di avviare indagini interne.</w:t>
      </w:r>
    </w:p>
    <w:p w14:paraId="66DC3C4A"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26B15E2C" w14:textId="16A3AB9A"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L’identità del segnalante sarà nota solo al Responsabile per la prevenzione della corruzione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 trasparenza; qualora l’Ente decida affiancare altri soggetti a supporto del RPCT, l’accesso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ai dati personali contenuti nella segnalazione è consentito solo ai componenti di volta in</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volta autorizzati. </w:t>
      </w:r>
      <w:r>
        <w:rPr>
          <w:rFonts w:ascii="PalatinoLinotype-Roman" w:eastAsiaTheme="minorHAnsi" w:hAnsi="PalatinoLinotype-Roman" w:cs="PalatinoLinotype-Roman"/>
          <w:sz w:val="22"/>
          <w:szCs w:val="22"/>
          <w:lang w:eastAsia="en-US"/>
          <w14:ligatures w14:val="standardContextual"/>
        </w:rPr>
        <w:lastRenderedPageBreak/>
        <w:t>L’obbligo di riservatezza dell’identità del segnalante si estende a tutti gli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elementi della segnalazione, inclusa la documentazione ad essa allegata, nella misura in cui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il loro disvelamento possa consentire l’identificazione del segnalante.</w:t>
      </w:r>
    </w:p>
    <w:p w14:paraId="7B5A6161"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35F3430A" w14:textId="54AF2F1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Qualora si renda necessario coinvolgere soggetti terzi, interni o esterni all’amministrazione,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per le verifiche sui fatti segnalati, il RPCT non trasmette la segnalazione a tali soggetti, ma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solo gli esiti delle verifiche eventualmente condotte e, se del caso, estratti accuratamente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anonimizzati della segnalazione prestando la massima attenzione per evitare che dalle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informazioni e dai fatti descritti si possa risalire all’identità del segnalante.</w:t>
      </w:r>
    </w:p>
    <w:p w14:paraId="5FF45D57"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32E73581" w14:textId="612AF59E"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Nell’ambito del procedimento disciplinare attivato dall’amministrazione contro il presunto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autore della condotta segnalata, l’identità del segnalante non può essere rivelata, senza il suo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consenso, sempre che la contestazione dell’addebito disciplinare sia fondata su accertamenti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distinti e ulteriori rispetto alla segnalazione. Qualora la contestazione sia fondata, in tutto 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parte, sulla segnalazione, l’identità può essere rivelata, solo in presenza del consenso del</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segnalante, ove la sua conoscenza sia assolutamente indispensabile per la difesa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dell’incolpato; tale ultima circostanza può emergere solo a seguito dell’audizione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dell’incolpato ovvero dalle memorie difensive che lo stesso produce nel procedimento. La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denuncia viene protocollata utilizzando la protocollazione riservata ed è sottratta all’accesso.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La segnalazione e la documentazione ad essa allegata è sottratta al diritto di accesso agli atti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amministrativi previsto dagli artt. 22 e seguenti della legge 241/1990 e </w:t>
      </w:r>
      <w:proofErr w:type="spellStart"/>
      <w:r>
        <w:rPr>
          <w:rFonts w:ascii="PalatinoLinotype-Roman" w:eastAsiaTheme="minorHAnsi" w:hAnsi="PalatinoLinotype-Roman" w:cs="PalatinoLinotype-Roman"/>
          <w:sz w:val="22"/>
          <w:szCs w:val="22"/>
          <w:lang w:eastAsia="en-US"/>
          <w14:ligatures w14:val="standardContextual"/>
        </w:rPr>
        <w:t>ss.mm.ii</w:t>
      </w:r>
      <w:proofErr w:type="spellEnd"/>
      <w:r>
        <w:rPr>
          <w:rFonts w:ascii="PalatinoLinotype-Roman" w:eastAsiaTheme="minorHAnsi" w:hAnsi="PalatinoLinotype-Roman" w:cs="PalatinoLinotype-Roman"/>
          <w:sz w:val="22"/>
          <w:szCs w:val="22"/>
          <w:lang w:eastAsia="en-US"/>
          <w14:ligatures w14:val="standardContextual"/>
        </w:rPr>
        <w:t>.</w:t>
      </w:r>
    </w:p>
    <w:p w14:paraId="30A15697"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6AFC53D4"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14 – Disposizioni particolari per i dirigenti/funzionari titolari di incarico di EQ</w:t>
      </w:r>
    </w:p>
    <w:p w14:paraId="30291826" w14:textId="77777777" w:rsidR="001F064C" w:rsidRDefault="001F064C" w:rsidP="00EB63B1">
      <w:pPr>
        <w:widowControl/>
        <w:rPr>
          <w:rFonts w:ascii="PalatinoLinotype-Bold" w:eastAsiaTheme="minorHAnsi" w:hAnsi="PalatinoLinotype-Bold" w:cs="PalatinoLinotype-Bold"/>
          <w:b/>
          <w:bCs/>
          <w:sz w:val="22"/>
          <w:szCs w:val="22"/>
          <w:lang w:eastAsia="en-US"/>
          <w14:ligatures w14:val="standardContextual"/>
        </w:rPr>
      </w:pPr>
    </w:p>
    <w:p w14:paraId="5ADD3E80" w14:textId="62E1CD15"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svolge con diligenza le funzioni ad esso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spettanti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base all’atto di conferimento dell’incarico, persegue gli obiettivi assegnati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adotta un comportamento organizzativo adeguato all’assolvimento dell’incarico.</w:t>
      </w:r>
    </w:p>
    <w:p w14:paraId="1D3A04F0"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04F1AC14" w14:textId="35A777A8"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prima di assumere le sue funzioni,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comunica all’amministrazione le partecipazioni azionarie e gli altri interessi finanziari che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possono porlo in</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conflitto di interessi con la funzione pubblica che svolge e dichiara se ha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parenti o affini entro il secondo grado, coniuge o convivente che esercitano attività politiche,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professionali o economiche che li pongano in contatti frequenti con l’ufficio o il servizio che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dovrà dirigere o che siano coinvolti nelle decisioni o nelle attività inerenti all’ufficio. Il</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dirigente fornisce le informazioni sulla propria situazione patrimoniale e le dichiarazioni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annuali dei redditi soggetti all’imposta sui redditi delle persone fisiche previste dalla legge.</w:t>
      </w:r>
    </w:p>
    <w:p w14:paraId="28AA3728"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253CF10E" w14:textId="3EC737A6"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assume atteggiamenti leali e trasparenti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adotta un comportamento esemplare e imparziale nei rapporti con i colleghi, i collaboratori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 destinatari dell’azione amministrativa. Cura, altresì, che le risorse assegnate al suo ufficio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siano utilizzate per finalità esclusivamente istituzionali e, in nessun caso, per esigenze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personali.</w:t>
      </w:r>
    </w:p>
    <w:p w14:paraId="787F1D13"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30F7E460" w14:textId="649579F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cura, compatibilmente con le risorse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disponibili, il benessere organizzativo nella struttura a cui è preposto, favorendo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l’instaurarsi di rapporti cordiali e rispettosi tra i collaboratori, assume iniziative finalizzate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alla circolazione delle informazioni, alla formazione e all’aggiornamento del personale,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all’inclusione e alla valorizzazione delle differenze di genere, di età e di condizioni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personali.</w:t>
      </w:r>
    </w:p>
    <w:p w14:paraId="09E0EAA6"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204C06EB" w14:textId="1EC12C9A"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Il dirigente/funzionario titolare di incarico di EQ assegna l’istruttoria delle pratiche sulla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base di un’equa ripartizione del carico di lavoro, tenendo conto delle capacità, delle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attitudini e della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professionalità del personale a sua disposizione. Il dirigente/titolare di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incarico di EQ affida gli incarichi aggiuntivi in base alla professionalità e, per quanto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possibile, secondo criteri di rotazione.</w:t>
      </w:r>
    </w:p>
    <w:p w14:paraId="6220861D"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49EEB885" w14:textId="6BFFDBA4"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svolge la valutazione del personale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assegnato alla struttura cui è preposto con imparzialità e rispettando le indicazioni ed 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tempi prescritti.</w:t>
      </w:r>
    </w:p>
    <w:p w14:paraId="1C867A69"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019804B3" w14:textId="31E4C965"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intraprende con tempestività le iniziative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necessarie ove venga a conoscenza di un illecito, attiva e conclude, se competente, il</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procedimento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disciplinare, ovvero segnala tempestivamente l’illecito all’autorità</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disciplinare, prestando ove richiesta la propria collaborazione e provvede ad inoltrare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tempestiva denuncia all’autorità giudiziaria penale o segnalazione alla corte dei conti per 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rispettive competenze. Nel caso in cui riceva segnalazione di un illecito da parte di un</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dipendente, adotta ogni cautela di legge affinché sia tutelato il segnalante e non sia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indebitamente rilevata la sua identità nel procedimento disciplinare, ai sensi dell’art. 54-bis</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del </w:t>
      </w:r>
      <w:proofErr w:type="spellStart"/>
      <w:r>
        <w:rPr>
          <w:rFonts w:ascii="PalatinoLinotype-Roman" w:eastAsiaTheme="minorHAnsi" w:hAnsi="PalatinoLinotype-Roman" w:cs="PalatinoLinotype-Roman"/>
          <w:sz w:val="22"/>
          <w:szCs w:val="22"/>
          <w:lang w:eastAsia="en-US"/>
          <w14:ligatures w14:val="standardContextual"/>
        </w:rPr>
        <w:t>D.Lgs.</w:t>
      </w:r>
      <w:proofErr w:type="spellEnd"/>
      <w:r>
        <w:rPr>
          <w:rFonts w:ascii="PalatinoLinotype-Roman" w:eastAsiaTheme="minorHAnsi" w:hAnsi="PalatinoLinotype-Roman" w:cs="PalatinoLinotype-Roman"/>
          <w:sz w:val="22"/>
          <w:szCs w:val="22"/>
          <w:lang w:eastAsia="en-US"/>
          <w14:ligatures w14:val="standardContextual"/>
        </w:rPr>
        <w:t xml:space="preserve"> n. 165/2001.</w:t>
      </w:r>
    </w:p>
    <w:p w14:paraId="247335D8"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3A1DCE16" w14:textId="237D9957"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dirigente/funzionario titolare di incarico di EQ, nei limiti delle sue possibilità, evita che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notizie non rispondenti al vero quanto all’organizzazione, all’attività ed ai dipendenti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 possano diffondersi. Favorisce la diffusione della conoscenza di buone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prassi e buoni esempi al fine di rafforzare il senso di fiducia nei confronti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w:t>
      </w:r>
    </w:p>
    <w:p w14:paraId="05C74D42"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2477E8E0"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15 – Contratti ed altri atti negoziali</w:t>
      </w:r>
    </w:p>
    <w:p w14:paraId="6F02CD70" w14:textId="77777777" w:rsidR="001F064C" w:rsidRDefault="001F064C" w:rsidP="00EB63B1">
      <w:pPr>
        <w:widowControl/>
        <w:rPr>
          <w:rFonts w:ascii="PalatinoLinotype-Bold" w:eastAsiaTheme="minorHAnsi" w:hAnsi="PalatinoLinotype-Bold" w:cs="PalatinoLinotype-Bold"/>
          <w:b/>
          <w:bCs/>
          <w:sz w:val="22"/>
          <w:szCs w:val="22"/>
          <w:lang w:eastAsia="en-US"/>
          <w14:ligatures w14:val="standardContextual"/>
        </w:rPr>
      </w:pPr>
    </w:p>
    <w:p w14:paraId="7CC6C23C" w14:textId="0FA71F8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Nella conclusione di accordi e negozi e nella stipulazione di contratti per conto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 nonché nella fase d</w:t>
      </w:r>
      <w:r w:rsidR="001F064C">
        <w:rPr>
          <w:rFonts w:ascii="PalatinoLinotype-Roman" w:eastAsiaTheme="minorHAnsi" w:hAnsi="PalatinoLinotype-Roman" w:cs="PalatinoLinotype-Roman"/>
          <w:sz w:val="22"/>
          <w:szCs w:val="22"/>
          <w:lang w:eastAsia="en-US"/>
          <w14:ligatures w14:val="standardContextual"/>
        </w:rPr>
        <w:t>i</w:t>
      </w:r>
      <w:r>
        <w:rPr>
          <w:rFonts w:ascii="PalatinoLinotype-Roman" w:eastAsiaTheme="minorHAnsi" w:hAnsi="PalatinoLinotype-Roman" w:cs="PalatinoLinotype-Roman"/>
          <w:sz w:val="22"/>
          <w:szCs w:val="22"/>
          <w:lang w:eastAsia="en-US"/>
          <w14:ligatures w14:val="standardContextual"/>
        </w:rPr>
        <w:t xml:space="preserve"> esecuzione degli stessi, il dipendente non ricorre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a mediazione di terzi, né corrisponde o promette ad </w:t>
      </w:r>
      <w:proofErr w:type="gramStart"/>
      <w:r>
        <w:rPr>
          <w:rFonts w:ascii="PalatinoLinotype-Roman" w:eastAsiaTheme="minorHAnsi" w:hAnsi="PalatinoLinotype-Roman" w:cs="PalatinoLinotype-Roman"/>
          <w:sz w:val="22"/>
          <w:szCs w:val="22"/>
          <w:lang w:eastAsia="en-US"/>
          <w14:ligatures w14:val="standardContextual"/>
        </w:rPr>
        <w:t>alcuno utilità</w:t>
      </w:r>
      <w:proofErr w:type="gramEnd"/>
      <w:r>
        <w:rPr>
          <w:rFonts w:ascii="PalatinoLinotype-Roman" w:eastAsiaTheme="minorHAnsi" w:hAnsi="PalatinoLinotype-Roman" w:cs="PalatinoLinotype-Roman"/>
          <w:sz w:val="22"/>
          <w:szCs w:val="22"/>
          <w:lang w:eastAsia="en-US"/>
          <w14:ligatures w14:val="standardContextual"/>
        </w:rPr>
        <w:t xml:space="preserve"> a titolo di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intermediazione, né per facilitare o aver facilitato la conclusione o l’esecuzione del contratto.</w:t>
      </w:r>
    </w:p>
    <w:p w14:paraId="264EC90C" w14:textId="7B58905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presente comma non si applica ai casi in cui l’amministrazione abbia deciso di ricorrere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all’attività di intermediazione professionale.</w:t>
      </w:r>
    </w:p>
    <w:p w14:paraId="4413389A"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177111A0" w14:textId="66445FB4"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non conclude, per conto dell’amministrazione, contratti di appalto, fornitura,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servizio, finanziamento o assicurazione con imprese con le quali abbia stipulato contratti 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titolo privato o ricevuto altre utilità nel biennio precedente, ad eccezione di quelli conclusi ai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sensi dell’articolo 1342 del Codice Civile. Nel caso in cui l’amministrazione concluda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contratti di appalto, fornitura, servizio, finanziamento o assicurazione, con imprese con 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quali il dipendente abbia concluso contratti a titolo privato o ricevuto altre utilità nel biennio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precedente, questi si astiene dal partecipare all’adozione delle decisioni ed alle attività</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relative all’esecuzione del contratto, redigendo verbale scritto di tale astensione da</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conservare agli atti dell’ufficio.</w:t>
      </w:r>
    </w:p>
    <w:p w14:paraId="0C5FBCB1"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6034CEA9" w14:textId="4DC81E92"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che conclude accordi o negozi ovvero stipula contratti a titolo privato, ad</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eccezione di quelli conclusi ai sensi dell’articolo 1342 del Codice Civile, con persone fisiche 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giuridiche private con le quali abbia concluso, nel biennio precedente, contratti di appalto,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fornitura, servizio, finanziamento ed assicurazione, per conto dell’amministrazione ne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informa per iscritto il dirigente/funzionario titolare di incarico di EQ.</w:t>
      </w:r>
    </w:p>
    <w:p w14:paraId="4F4099D5"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3D64BDB5" w14:textId="3DA555E8"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Se nelle situazioni di cui ai commi 2 e 3 si trova il dirigente/funzionario titolare di incarico di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EQ, questi informa per iscritto il Segretario Generale; se nelle situazioni di cui ai commi 2 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3 si trova il</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Segretario Generale, questi informa per iscritto il Sindaco.</w:t>
      </w:r>
    </w:p>
    <w:p w14:paraId="6EA796D4"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4E2FB182" w14:textId="0C079A40"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dipendente che riceva, da persone fisiche o giuridiche partecipanti a procedure negoziali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nelle</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quali sia parte l’amministrazione, rimostranze orali o scritte sull’operato dell’ufficio o</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su quello dei propri collaboratori, ne informa immediatamente, di norma per iscritto, il</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proprio superiore gerarchico o funzionale.</w:t>
      </w:r>
    </w:p>
    <w:p w14:paraId="37F86572"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16B9AF2E"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16 – Vigilanza, monitoraggio e attività formative</w:t>
      </w:r>
    </w:p>
    <w:p w14:paraId="1750608B" w14:textId="77777777" w:rsidR="001F064C" w:rsidRDefault="001F064C" w:rsidP="00EB63B1">
      <w:pPr>
        <w:widowControl/>
        <w:rPr>
          <w:rFonts w:ascii="PalatinoLinotype-Bold" w:eastAsiaTheme="minorHAnsi" w:hAnsi="PalatinoLinotype-Bold" w:cs="PalatinoLinotype-Bold"/>
          <w:b/>
          <w:bCs/>
          <w:sz w:val="22"/>
          <w:szCs w:val="22"/>
          <w:lang w:eastAsia="en-US"/>
          <w14:ligatures w14:val="standardContextual"/>
        </w:rPr>
      </w:pPr>
    </w:p>
    <w:p w14:paraId="5C0CBC16" w14:textId="39A9DBF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Sull’applicazione del presente codice vigilano i dirigenti/funzionari titolari di incarico di EQ</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 ciascuna struttura, le strutture di controllo interno.</w:t>
      </w:r>
    </w:p>
    <w:p w14:paraId="12CFE3FB"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19ABC6AE" w14:textId="54118A21"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sidRPr="008C36F7">
        <w:rPr>
          <w:rFonts w:ascii="PalatinoLinotype-Roman" w:eastAsiaTheme="minorHAnsi" w:hAnsi="PalatinoLinotype-Roman" w:cs="PalatinoLinotype-Roman"/>
          <w:sz w:val="22"/>
          <w:szCs w:val="22"/>
          <w:lang w:eastAsia="en-US"/>
          <w14:ligatures w14:val="standardContextual"/>
        </w:rPr>
        <w:t>Ai fini dell’attività di vigilanza e monitoraggio prevista dal presente articolo,</w:t>
      </w:r>
      <w:r w:rsidR="001F064C" w:rsidRPr="008C36F7">
        <w:rPr>
          <w:rFonts w:ascii="PalatinoLinotype-Roman" w:eastAsiaTheme="minorHAnsi" w:hAnsi="PalatinoLinotype-Roman" w:cs="PalatinoLinotype-Roman"/>
          <w:sz w:val="22"/>
          <w:szCs w:val="22"/>
          <w:lang w:eastAsia="en-US"/>
          <w14:ligatures w14:val="standardContextual"/>
        </w:rPr>
        <w:t xml:space="preserve"> </w:t>
      </w:r>
      <w:r w:rsidRPr="008C36F7">
        <w:rPr>
          <w:rFonts w:ascii="PalatinoLinotype-Roman" w:eastAsiaTheme="minorHAnsi" w:hAnsi="PalatinoLinotype-Roman" w:cs="PalatinoLinotype-Roman"/>
          <w:sz w:val="22"/>
          <w:szCs w:val="22"/>
          <w:lang w:eastAsia="en-US"/>
          <w14:ligatures w14:val="standardContextual"/>
        </w:rPr>
        <w:t>l’amministrazione si avvale dell’ufficio procedimenti disciplinari istituito ai sensi</w:t>
      </w:r>
      <w:r w:rsidR="001F064C" w:rsidRPr="008C36F7">
        <w:rPr>
          <w:rFonts w:ascii="PalatinoLinotype-Roman" w:eastAsiaTheme="minorHAnsi" w:hAnsi="PalatinoLinotype-Roman" w:cs="PalatinoLinotype-Roman"/>
          <w:sz w:val="22"/>
          <w:szCs w:val="22"/>
          <w:lang w:eastAsia="en-US"/>
          <w14:ligatures w14:val="standardContextual"/>
        </w:rPr>
        <w:t xml:space="preserve"> </w:t>
      </w:r>
      <w:r w:rsidRPr="008C36F7">
        <w:rPr>
          <w:rFonts w:ascii="PalatinoLinotype-Roman" w:eastAsiaTheme="minorHAnsi" w:hAnsi="PalatinoLinotype-Roman" w:cs="PalatinoLinotype-Roman"/>
          <w:sz w:val="22"/>
          <w:szCs w:val="22"/>
          <w:lang w:eastAsia="en-US"/>
          <w14:ligatures w14:val="standardContextual"/>
        </w:rPr>
        <w:t xml:space="preserve">dell’articolo 55-bis, comma 4, del </w:t>
      </w:r>
      <w:proofErr w:type="spellStart"/>
      <w:r w:rsidRPr="008C36F7">
        <w:rPr>
          <w:rFonts w:ascii="PalatinoLinotype-Roman" w:eastAsiaTheme="minorHAnsi" w:hAnsi="PalatinoLinotype-Roman" w:cs="PalatinoLinotype-Roman"/>
          <w:sz w:val="22"/>
          <w:szCs w:val="22"/>
          <w:lang w:eastAsia="en-US"/>
          <w14:ligatures w14:val="standardContextual"/>
        </w:rPr>
        <w:t>D.Lgs.</w:t>
      </w:r>
      <w:proofErr w:type="spellEnd"/>
      <w:r w:rsidRPr="008C36F7">
        <w:rPr>
          <w:rFonts w:ascii="PalatinoLinotype-Roman" w:eastAsiaTheme="minorHAnsi" w:hAnsi="PalatinoLinotype-Roman" w:cs="PalatinoLinotype-Roman"/>
          <w:sz w:val="22"/>
          <w:szCs w:val="22"/>
          <w:lang w:eastAsia="en-US"/>
          <w14:ligatures w14:val="standardContextual"/>
        </w:rPr>
        <w:t xml:space="preserve"> n. 165/2001</w:t>
      </w:r>
      <w:r w:rsidR="008C36F7" w:rsidRPr="008C36F7">
        <w:rPr>
          <w:rFonts w:ascii="PalatinoLinotype-Roman" w:eastAsiaTheme="minorHAnsi" w:hAnsi="PalatinoLinotype-Roman" w:cs="PalatinoLinotype-Roman"/>
          <w:sz w:val="22"/>
          <w:szCs w:val="22"/>
          <w:lang w:eastAsia="en-US"/>
          <w14:ligatures w14:val="standardContextual"/>
        </w:rPr>
        <w:t xml:space="preserve">, con deliberazione di Giunta Municipale n. 19/2014, </w:t>
      </w:r>
      <w:r w:rsidRPr="008C36F7">
        <w:rPr>
          <w:rFonts w:ascii="PalatinoLinotype-Roman" w:eastAsiaTheme="minorHAnsi" w:hAnsi="PalatinoLinotype-Roman" w:cs="PalatinoLinotype-Roman"/>
          <w:sz w:val="22"/>
          <w:szCs w:val="22"/>
          <w:lang w:eastAsia="en-US"/>
          <w14:ligatures w14:val="standardContextual"/>
        </w:rPr>
        <w:t>che svolge, altresì, le funzioni dei</w:t>
      </w:r>
      <w:r w:rsidR="001F064C" w:rsidRPr="008C36F7">
        <w:rPr>
          <w:rFonts w:ascii="PalatinoLinotype-Roman" w:eastAsiaTheme="minorHAnsi" w:hAnsi="PalatinoLinotype-Roman" w:cs="PalatinoLinotype-Roman"/>
          <w:sz w:val="22"/>
          <w:szCs w:val="22"/>
          <w:lang w:eastAsia="en-US"/>
          <w14:ligatures w14:val="standardContextual"/>
        </w:rPr>
        <w:t xml:space="preserve"> </w:t>
      </w:r>
      <w:r w:rsidRPr="008C36F7">
        <w:rPr>
          <w:rFonts w:ascii="PalatinoLinotype-Roman" w:eastAsiaTheme="minorHAnsi" w:hAnsi="PalatinoLinotype-Roman" w:cs="PalatinoLinotype-Roman"/>
          <w:sz w:val="22"/>
          <w:szCs w:val="22"/>
          <w:lang w:eastAsia="en-US"/>
          <w14:ligatures w14:val="standardContextual"/>
        </w:rPr>
        <w:t>comitati o uffici etici eventualmente già istituiti.</w:t>
      </w:r>
    </w:p>
    <w:p w14:paraId="60B0D0F8" w14:textId="77777777" w:rsidR="001F064C" w:rsidRDefault="001F064C" w:rsidP="001F064C">
      <w:pPr>
        <w:widowControl/>
        <w:jc w:val="both"/>
        <w:rPr>
          <w:rFonts w:ascii="PalatinoLinotype-Roman" w:eastAsiaTheme="minorHAnsi" w:hAnsi="PalatinoLinotype-Roman" w:cs="PalatinoLinotype-Roman"/>
          <w:sz w:val="22"/>
          <w:szCs w:val="22"/>
          <w:lang w:eastAsia="en-US"/>
          <w14:ligatures w14:val="standardContextual"/>
        </w:rPr>
      </w:pPr>
    </w:p>
    <w:p w14:paraId="6E8AC024" w14:textId="0D2869E3"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Le attività svolte ai sensi del presente articolo dall’ufficio procedimenti disciplinari si</w:t>
      </w:r>
      <w:r w:rsidR="001F064C">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conformano alle previsioni contenute nella Sezione Anticorruzione del P.I.A.O.</w:t>
      </w:r>
    </w:p>
    <w:p w14:paraId="6177973D"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0707484E" w14:textId="5E48D3AB"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L’ufficio procedimenti disciplinari, oltre alle funzioni disciplinari di cui all’articolo 55-bis 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seguenti del D.</w:t>
      </w:r>
      <w:r w:rsidR="00E051C3">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Lgs. n. 165/2001, cura l’aggiornamento del presente codice, l’esame delle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segnalazioni di violazione dello stesso, la raccolta delle condotte illecite accertate 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sanzionate, assicurando le garanzie di cui all’articolo 54-bis del D.</w:t>
      </w:r>
      <w:r w:rsidR="00E051C3">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Lgs. n. 165/2001.</w:t>
      </w:r>
    </w:p>
    <w:p w14:paraId="0A9F5130"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3224DAF8" w14:textId="2AED35CB"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responsabile della prevenzione della corruzione cura la diffusione della conoscenza del</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codice di comportamento nell’amministrazione, il monitoraggio annuale sulla sua</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attuazione, ai sensi dell’articolo 54, comma 7, del D.</w:t>
      </w:r>
      <w:r w:rsidR="00E051C3">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Lgs. n. 165/2001, la pubblicazione sul sito</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istituzionale e della comunicazione all’autorità nazionale anticorruzione, di cui all’articolo 1,</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comma 2, della legge 6 novembre 2012, n. 190, dei risultati del monitoraggio.</w:t>
      </w:r>
    </w:p>
    <w:p w14:paraId="32C4C969"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46702EB4" w14:textId="06370554"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Ai fini dello svolgimento delle attività previste dal presente articolo, l’ufficio procedimenti</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disciplinari opera in raccordo con il responsabile della prevenzione della corruzione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dell’ente.</w:t>
      </w:r>
    </w:p>
    <w:p w14:paraId="6E41DDC6"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3FFF51F5" w14:textId="2AFFE964"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Ai fini dell’attivazione del procedimento disciplinare per violazione del codice, l’ufficio procedimenti disciplinari può chiedere all’Autorità nazionale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anticorruzione (ANAC) parere</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facoltativo secondo quanto stabilito dall’articolo 1, comma 2,</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lettera d) della legge n. 190/2012.</w:t>
      </w:r>
    </w:p>
    <w:p w14:paraId="1D62E3C1"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2B50512C" w14:textId="0961AC85"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L’amministrazione, nell’ambito dell’attività di formazione, prevede apposite giornate in</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materia di trasparenza ed integrità, che consentano ai propri dipendenti di conseguire una</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piena conoscenza dei contenuti del codice di comportamento, nonché un aggiornamento</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annuale e sistematico sulle misure e sulle disposizioni applicabili in tale ambito.</w:t>
      </w:r>
    </w:p>
    <w:p w14:paraId="0121E412"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0FBFA343" w14:textId="1D9D2F24"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Le attività formative devono includere obbligatoriamente temi di etica pubblica e di</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comportamento etico.</w:t>
      </w:r>
    </w:p>
    <w:p w14:paraId="3CFEA588"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46BE1972" w14:textId="65395C9C" w:rsidR="00EB63B1" w:rsidRDefault="00EB63B1" w:rsidP="001F064C">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Dall’attuazione delle disposizioni del presente articolo non devono derivare nuovi o</w:t>
      </w:r>
      <w:r w:rsidR="00296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maggiori oneri per il bilancio comunale.</w:t>
      </w:r>
    </w:p>
    <w:p w14:paraId="4EF77FF8" w14:textId="77777777" w:rsidR="002966F0" w:rsidRDefault="002966F0" w:rsidP="001F064C">
      <w:pPr>
        <w:widowControl/>
        <w:jc w:val="both"/>
        <w:rPr>
          <w:rFonts w:ascii="PalatinoLinotype-Roman" w:eastAsiaTheme="minorHAnsi" w:hAnsi="PalatinoLinotype-Roman" w:cs="PalatinoLinotype-Roman"/>
          <w:sz w:val="22"/>
          <w:szCs w:val="22"/>
          <w:lang w:eastAsia="en-US"/>
          <w14:ligatures w14:val="standardContextual"/>
        </w:rPr>
      </w:pPr>
    </w:p>
    <w:p w14:paraId="70130FB3" w14:textId="6264F62F"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17 - Disposizioni particolari per il personale impiegato con la modalità del</w:t>
      </w:r>
      <w:r w:rsidR="002966F0">
        <w:rPr>
          <w:rFonts w:ascii="PalatinoLinotype-Bold" w:eastAsiaTheme="minorHAnsi" w:hAnsi="PalatinoLinotype-Bold" w:cs="PalatinoLinotype-Bold"/>
          <w:b/>
          <w:bCs/>
          <w:sz w:val="22"/>
          <w:szCs w:val="22"/>
          <w:lang w:eastAsia="en-US"/>
          <w14:ligatures w14:val="standardContextual"/>
        </w:rPr>
        <w:t xml:space="preserve"> </w:t>
      </w:r>
      <w:r>
        <w:rPr>
          <w:rFonts w:ascii="PalatinoLinotype-Bold" w:eastAsiaTheme="minorHAnsi" w:hAnsi="PalatinoLinotype-Bold" w:cs="PalatinoLinotype-Bold"/>
          <w:b/>
          <w:bCs/>
          <w:sz w:val="22"/>
          <w:szCs w:val="22"/>
          <w:lang w:eastAsia="en-US"/>
          <w14:ligatures w14:val="standardContextual"/>
        </w:rPr>
        <w:t>lavoro agile</w:t>
      </w:r>
    </w:p>
    <w:p w14:paraId="3E40ED59" w14:textId="77777777" w:rsidR="002966F0" w:rsidRDefault="002966F0" w:rsidP="00EB63B1">
      <w:pPr>
        <w:widowControl/>
        <w:rPr>
          <w:rFonts w:ascii="PalatinoLinotype-Bold" w:eastAsiaTheme="minorHAnsi" w:hAnsi="PalatinoLinotype-Bold" w:cs="PalatinoLinotype-Bold"/>
          <w:b/>
          <w:bCs/>
          <w:sz w:val="22"/>
          <w:szCs w:val="22"/>
          <w:lang w:eastAsia="en-US"/>
          <w14:ligatures w14:val="standardContextual"/>
        </w:rPr>
      </w:pPr>
    </w:p>
    <w:p w14:paraId="34C1F40E" w14:textId="3DF762C4" w:rsidR="00EB63B1" w:rsidRDefault="00EB63B1" w:rsidP="00E051C3">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Al lavoratore agile o da remoto si applicano tutte le norme di cui al presente codice di</w:t>
      </w:r>
      <w:r w:rsidR="00E051C3">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 xml:space="preserve">comportamento, ai sensi di quanto previsto </w:t>
      </w:r>
      <w:r w:rsidR="00E051C3">
        <w:rPr>
          <w:rFonts w:ascii="PalatinoLinotype-Roman" w:eastAsiaTheme="minorHAnsi" w:hAnsi="PalatinoLinotype-Roman" w:cs="PalatinoLinotype-Roman"/>
          <w:sz w:val="22"/>
          <w:szCs w:val="22"/>
          <w:lang w:eastAsia="en-US"/>
          <w14:ligatures w14:val="standardContextual"/>
        </w:rPr>
        <w:t>dal Disciplinare Transitorio sul Lavoro Agile</w:t>
      </w:r>
      <w:r>
        <w:rPr>
          <w:rFonts w:ascii="PalatinoLinotype-Roman" w:eastAsiaTheme="minorHAnsi" w:hAnsi="PalatinoLinotype-Roman" w:cs="PalatinoLinotype-Roman"/>
          <w:sz w:val="22"/>
          <w:szCs w:val="22"/>
          <w:lang w:eastAsia="en-US"/>
          <w14:ligatures w14:val="standardContextual"/>
        </w:rPr>
        <w:t xml:space="preserve">, allegato alla Deliberazione G.C. n. </w:t>
      </w:r>
      <w:r w:rsidR="00E051C3">
        <w:rPr>
          <w:rFonts w:ascii="PalatinoLinotype-Roman" w:eastAsiaTheme="minorHAnsi" w:hAnsi="PalatinoLinotype-Roman" w:cs="PalatinoLinotype-Roman"/>
          <w:sz w:val="22"/>
          <w:szCs w:val="22"/>
          <w:lang w:eastAsia="en-US"/>
          <w14:ligatures w14:val="standardContextual"/>
        </w:rPr>
        <w:t>42/2023.</w:t>
      </w:r>
    </w:p>
    <w:p w14:paraId="35639AEF" w14:textId="77777777" w:rsidR="00E051C3" w:rsidRDefault="00E051C3" w:rsidP="00E051C3">
      <w:pPr>
        <w:widowControl/>
        <w:jc w:val="both"/>
        <w:rPr>
          <w:rFonts w:ascii="PalatinoLinotype-Roman" w:eastAsiaTheme="minorHAnsi" w:hAnsi="PalatinoLinotype-Roman" w:cs="PalatinoLinotype-Roman"/>
          <w:sz w:val="22"/>
          <w:szCs w:val="22"/>
          <w:lang w:eastAsia="en-US"/>
          <w14:ligatures w14:val="standardContextual"/>
        </w:rPr>
      </w:pPr>
    </w:p>
    <w:p w14:paraId="0FBC83F9"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 18 – Responsabilità conseguente alla violazione dei doveri del codice</w:t>
      </w:r>
    </w:p>
    <w:p w14:paraId="5BD172EA"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13FDCC4E" w14:textId="59849D11"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La violazione degli obblighi previsti dal presente codice integra comportamenti contrari ai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doveri d’ufficio. Ferme restando le ipotesi in cui la violazione delle disposizioni contenute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nel presente codice, nonché dei doveri e degli obblighi previsti dalla Sezione Anticorruzione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 P.I.A.O., dà</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luogo anche a responsabilità penale, civile, amministrativa o contabile del</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pubblico dipendente, ed è fonte di responsabilità disciplinare accertata all’esito del</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procedimento disciplinare, nel rispetto dei principi di gradualità e proporzionalità delle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sanzioni.</w:t>
      </w:r>
    </w:p>
    <w:p w14:paraId="0C0E46EC"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701F2971" w14:textId="482B53BE"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Ai fini della determinazione del tipo e dell’entità della sanzione disciplinare concretamente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applicabile, la violazione è valutata in ogni singolo caso con riguardo alla gravità del</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comportamento</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e all’entità del pregiudizio, anche morale, derivatone al decoro o al prestigio</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dell’amministrazione di appartenenza. Le sanzioni applicabili sono quelle previste dalla</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legge, dai regolamenti e dai contratti collettivi, incluse quelle espulsive che possono essere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applicate esclusivamente nei casi, da valutare in relazione della gravità, di violazione delle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disposizioni di cui all’ art. 3, qualora concorrano la non modicità del valore del regalo o delle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altre utilità e l’immediata correlazione di questi ultimi con il compimento di un atto o di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un’attività tipici dell’ufficio, all’art. 4, comma 2, all’art. 13, comma 2, primo periodo, valutata</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ai sensi del primo periodo. La disposizione del secondo periodo si applica altresì nei casi di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recidiva negli illeciti di cui agli artt. 3, comma 6, 5, comma 2, esclusi i conflitti meramente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potenziali, e 12, comma 9, primo periodo. I contratti collettivi possono prevedere ulteriori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criteri di individuazione delle sanzioni applicabili in relazione alle tipologie di violazione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del presente codice.</w:t>
      </w:r>
    </w:p>
    <w:p w14:paraId="2ED5E2E4"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05216AE7" w14:textId="3D684829"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Resta ferma la comminazione del licenziamento senza preavviso per i casi già previsti dalla</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legge, dai regolamenti e dai contratti collettivi.</w:t>
      </w:r>
    </w:p>
    <w:p w14:paraId="2FBD411B"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48386DBA" w14:textId="25A82E4E"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Restano fermi gli ulteriori obblighi e le conseguenti ipotesi di responsabilità disciplinare dei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pubblici dipendenti previsti da norme di legge, di regolamento o dai contratti collettivi.</w:t>
      </w:r>
    </w:p>
    <w:p w14:paraId="2408D532"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37D65BB4" w14:textId="77777777" w:rsidR="00EB63B1" w:rsidRDefault="00EB63B1" w:rsidP="00EB63B1">
      <w:pPr>
        <w:widowControl/>
        <w:rPr>
          <w:rFonts w:ascii="PalatinoLinotype-Bold" w:eastAsiaTheme="minorHAnsi" w:hAnsi="PalatinoLinotype-Bold" w:cs="PalatinoLinotype-Bold"/>
          <w:b/>
          <w:bCs/>
          <w:sz w:val="22"/>
          <w:szCs w:val="22"/>
          <w:lang w:eastAsia="en-US"/>
          <w14:ligatures w14:val="standardContextual"/>
        </w:rPr>
      </w:pPr>
      <w:r>
        <w:rPr>
          <w:rFonts w:ascii="PalatinoLinotype-Bold" w:eastAsiaTheme="minorHAnsi" w:hAnsi="PalatinoLinotype-Bold" w:cs="PalatinoLinotype-Bold"/>
          <w:b/>
          <w:bCs/>
          <w:sz w:val="22"/>
          <w:szCs w:val="22"/>
          <w:lang w:eastAsia="en-US"/>
          <w14:ligatures w14:val="standardContextual"/>
        </w:rPr>
        <w:t>Articolo 19 – Disposizioni finali</w:t>
      </w:r>
    </w:p>
    <w:p w14:paraId="2D951C5F" w14:textId="77777777" w:rsidR="007B56F0" w:rsidRDefault="007B56F0" w:rsidP="00EB63B1">
      <w:pPr>
        <w:widowControl/>
        <w:rPr>
          <w:rFonts w:ascii="PalatinoLinotype-Bold" w:eastAsiaTheme="minorHAnsi" w:hAnsi="PalatinoLinotype-Bold" w:cs="PalatinoLinotype-Bold"/>
          <w:b/>
          <w:bCs/>
          <w:sz w:val="22"/>
          <w:szCs w:val="22"/>
          <w:lang w:eastAsia="en-US"/>
          <w14:ligatures w14:val="standardContextual"/>
        </w:rPr>
      </w:pPr>
    </w:p>
    <w:p w14:paraId="5D5077A7" w14:textId="78776575"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L’amministrazione dà la più ampia diffusione al presente Codice di Comportamento,</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attraverso la pubblicazione sul sito istituzionale, nonché trasmettendolo tramite e-mail a tutti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 propri dipendenti ed ai titolari di contratti di consulenza o collaborazione a qualsiasi titolo,</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anche professionale, ai titolari di organi e di incarichi negli uffici di diretta collaborazione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dei vertici politici dell’amministrazione, nonché ai collaboratori, a qualsiasi titolo, anche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professionale, di imprese fornitrici di servizi in favore dell’amministrazione stessa.</w:t>
      </w:r>
    </w:p>
    <w:p w14:paraId="6AA40353" w14:textId="3C03BA56" w:rsidR="00EB63B1"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lastRenderedPageBreak/>
        <w:t>L’amministrazione, contestualmente alla sottoscrizione del contratto individuale di lavoro o,</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in mancanza, all’atto di conferimento dell’incarico, consegna e fa sottoscrivere ai nuovi</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assunti copia del presente codice di comportamento.</w:t>
      </w:r>
    </w:p>
    <w:p w14:paraId="69FBD2B4" w14:textId="77777777" w:rsidR="007B56F0" w:rsidRDefault="007B56F0" w:rsidP="007B56F0">
      <w:pPr>
        <w:widowControl/>
        <w:jc w:val="both"/>
        <w:rPr>
          <w:rFonts w:ascii="PalatinoLinotype-Roman" w:eastAsiaTheme="minorHAnsi" w:hAnsi="PalatinoLinotype-Roman" w:cs="PalatinoLinotype-Roman"/>
          <w:sz w:val="22"/>
          <w:szCs w:val="22"/>
          <w:lang w:eastAsia="en-US"/>
          <w14:ligatures w14:val="standardContextual"/>
        </w:rPr>
      </w:pPr>
    </w:p>
    <w:p w14:paraId="22E803B5" w14:textId="3638B1B4" w:rsidR="00EB63B1" w:rsidRPr="007B56F0" w:rsidRDefault="00EB63B1" w:rsidP="007B56F0">
      <w:pPr>
        <w:widowControl/>
        <w:jc w:val="both"/>
        <w:rPr>
          <w:rFonts w:ascii="PalatinoLinotype-Roman" w:eastAsiaTheme="minorHAnsi" w:hAnsi="PalatinoLinotype-Roman" w:cs="PalatinoLinotype-Roman"/>
          <w:sz w:val="22"/>
          <w:szCs w:val="22"/>
          <w:lang w:eastAsia="en-US"/>
          <w14:ligatures w14:val="standardContextual"/>
        </w:rPr>
      </w:pPr>
      <w:r>
        <w:rPr>
          <w:rFonts w:ascii="PalatinoLinotype-Roman" w:eastAsiaTheme="minorHAnsi" w:hAnsi="PalatinoLinotype-Roman" w:cs="PalatinoLinotype-Roman"/>
          <w:sz w:val="22"/>
          <w:szCs w:val="22"/>
          <w:lang w:eastAsia="en-US"/>
          <w14:ligatures w14:val="standardContextual"/>
        </w:rPr>
        <w:t>Il presente codice di comportamento sostituisce eventuali altre disposizioni, regolamentari e/</w:t>
      </w:r>
      <w:r w:rsidR="007B56F0">
        <w:rPr>
          <w:rFonts w:ascii="PalatinoLinotype-Roman" w:eastAsiaTheme="minorHAnsi" w:hAnsi="PalatinoLinotype-Roman" w:cs="PalatinoLinotype-Roman"/>
          <w:sz w:val="22"/>
          <w:szCs w:val="22"/>
          <w:lang w:eastAsia="en-US"/>
          <w14:ligatures w14:val="standardContextual"/>
        </w:rPr>
        <w:t xml:space="preserve"> </w:t>
      </w:r>
      <w:r>
        <w:rPr>
          <w:rFonts w:ascii="PalatinoLinotype-Roman" w:eastAsiaTheme="minorHAnsi" w:hAnsi="PalatinoLinotype-Roman" w:cs="PalatinoLinotype-Roman"/>
          <w:sz w:val="22"/>
          <w:szCs w:val="22"/>
          <w:lang w:eastAsia="en-US"/>
          <w14:ligatures w14:val="standardContextual"/>
        </w:rPr>
        <w:t>o organizzative, già vigenti e con esso incompatibili</w:t>
      </w:r>
    </w:p>
    <w:sectPr w:rsidR="00EB63B1" w:rsidRPr="007B56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F16"/>
    <w:multiLevelType w:val="hybridMultilevel"/>
    <w:tmpl w:val="96E0AC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27377E"/>
    <w:multiLevelType w:val="hybridMultilevel"/>
    <w:tmpl w:val="3326BC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9757D"/>
    <w:multiLevelType w:val="hybridMultilevel"/>
    <w:tmpl w:val="128E2F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5737CE"/>
    <w:multiLevelType w:val="hybridMultilevel"/>
    <w:tmpl w:val="32DA3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240210"/>
    <w:multiLevelType w:val="hybridMultilevel"/>
    <w:tmpl w:val="887CA6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037F2"/>
    <w:multiLevelType w:val="hybridMultilevel"/>
    <w:tmpl w:val="99B2CD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2251823">
    <w:abstractNumId w:val="3"/>
  </w:num>
  <w:num w:numId="2" w16cid:durableId="1505168843">
    <w:abstractNumId w:val="5"/>
  </w:num>
  <w:num w:numId="3" w16cid:durableId="698746237">
    <w:abstractNumId w:val="4"/>
  </w:num>
  <w:num w:numId="4" w16cid:durableId="2027248395">
    <w:abstractNumId w:val="2"/>
  </w:num>
  <w:num w:numId="5" w16cid:durableId="1508711065">
    <w:abstractNumId w:val="1"/>
  </w:num>
  <w:num w:numId="6" w16cid:durableId="177867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3B"/>
    <w:rsid w:val="001F064C"/>
    <w:rsid w:val="00263FFC"/>
    <w:rsid w:val="002966F0"/>
    <w:rsid w:val="007B56F0"/>
    <w:rsid w:val="007D7739"/>
    <w:rsid w:val="008C36F7"/>
    <w:rsid w:val="009F7CE8"/>
    <w:rsid w:val="00AC75F4"/>
    <w:rsid w:val="00BD593F"/>
    <w:rsid w:val="00E051C3"/>
    <w:rsid w:val="00EB63B1"/>
    <w:rsid w:val="00EE2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F7A6"/>
  <w15:chartTrackingRefBased/>
  <w15:docId w15:val="{547D5D2E-7367-44C7-8677-894E0B2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63B1"/>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it-IT"/>
      <w14:ligatures w14:val="none"/>
    </w:rPr>
  </w:style>
  <w:style w:type="paragraph" w:styleId="Titolo2">
    <w:name w:val="heading 2"/>
    <w:basedOn w:val="Normale"/>
    <w:next w:val="Normale"/>
    <w:link w:val="Titolo2Carattere"/>
    <w:uiPriority w:val="99"/>
    <w:semiHidden/>
    <w:unhideWhenUsed/>
    <w:qFormat/>
    <w:rsid w:val="00EB63B1"/>
    <w:pPr>
      <w:keepNext/>
      <w:outlineLvl w:val="1"/>
    </w:pPr>
    <w:rPr>
      <w:rFonts w:ascii="Arial" w:eastAsia="Times New Roman"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rsid w:val="00EB63B1"/>
    <w:rPr>
      <w:rFonts w:ascii="Arial" w:eastAsia="Times New Roman" w:hAnsi="Arial" w:cs="Arial"/>
      <w:b/>
      <w:bCs/>
      <w:kern w:val="0"/>
      <w:sz w:val="24"/>
      <w:szCs w:val="24"/>
      <w:lang w:eastAsia="it-IT"/>
      <w14:ligatures w14:val="none"/>
    </w:rPr>
  </w:style>
  <w:style w:type="character" w:styleId="Collegamentoipertestuale">
    <w:name w:val="Hyperlink"/>
    <w:basedOn w:val="Carpredefinitoparagrafo"/>
    <w:uiPriority w:val="99"/>
    <w:semiHidden/>
    <w:unhideWhenUsed/>
    <w:rsid w:val="00EB63B1"/>
    <w:rPr>
      <w:rFonts w:ascii="Times New Roman" w:hAnsi="Times New Roman" w:cs="Times New Roman" w:hint="default"/>
      <w:color w:val="000000"/>
      <w:u w:val="single"/>
    </w:rPr>
  </w:style>
  <w:style w:type="paragraph" w:styleId="Intestazione">
    <w:name w:val="header"/>
    <w:basedOn w:val="Normale"/>
    <w:link w:val="IntestazioneCarattere"/>
    <w:uiPriority w:val="99"/>
    <w:semiHidden/>
    <w:unhideWhenUsed/>
    <w:rsid w:val="00EB63B1"/>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EB63B1"/>
    <w:rPr>
      <w:rFonts w:ascii="Times New Roman" w:eastAsiaTheme="minorEastAsia" w:hAnsi="Times New Roman" w:cs="Times New Roman"/>
      <w:kern w:val="0"/>
      <w:sz w:val="24"/>
      <w:szCs w:val="24"/>
      <w:lang w:eastAsia="it-IT"/>
      <w14:ligatures w14:val="none"/>
    </w:rPr>
  </w:style>
  <w:style w:type="paragraph" w:styleId="Paragrafoelenco">
    <w:name w:val="List Paragraph"/>
    <w:basedOn w:val="Normale"/>
    <w:uiPriority w:val="34"/>
    <w:qFormat/>
    <w:rsid w:val="00EB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laverde@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illaverde.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6084</Words>
  <Characters>34680</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Villa Verde</dc:creator>
  <cp:keywords/>
  <dc:description/>
  <cp:lastModifiedBy>Comune Villa Verde</cp:lastModifiedBy>
  <cp:revision>7</cp:revision>
  <dcterms:created xsi:type="dcterms:W3CDTF">2023-10-25T11:43:00Z</dcterms:created>
  <dcterms:modified xsi:type="dcterms:W3CDTF">2023-10-30T13:21:00Z</dcterms:modified>
</cp:coreProperties>
</file>